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4"/>
          <w:szCs w:val="24"/>
        </w:rPr>
      </w:pPr>
      <w:r>
        <w:rPr>
          <w:rFonts w:cs="Times New Roman" w:ascii="Times New Roman" w:hAnsi="Times New Roman"/>
          <w:b/>
          <w:sz w:val="24"/>
          <w:szCs w:val="24"/>
        </w:rPr>
        <w:t>OPŁATA ZA ZMNIEJSZENIE NATURALNEJ RETENCJI TERENOWEJ</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b/>
          <w:sz w:val="24"/>
          <w:szCs w:val="24"/>
          <w:u w:val="single"/>
        </w:rPr>
        <w:t>Kogo dotyczy obowiązek opłaty retencyjnej</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jc w:val="both"/>
        <w:rPr>
          <w:rFonts w:ascii="Times New Roman" w:hAnsi="Times New Roman" w:cs="Times New Roman"/>
        </w:rPr>
      </w:pPr>
      <w:r>
        <w:rPr>
          <w:rFonts w:cs="Times New Roman" w:ascii="Times New Roman" w:hAnsi="Times New Roman"/>
        </w:rPr>
        <w:t>Od 1 stycznia 2018 r. zgodnie z art. 269 ust. 1 pkt 1 oraz art. 272 ust. 8 Ustawy z dnia 20 lipca 2017 r. Prawo wodne (t.j. Dz. U. z 2022 r., poz. 2625 ze zm.) wprowadzona została tzw. opłata retencyjna.</w:t>
      </w:r>
    </w:p>
    <w:p>
      <w:pPr>
        <w:pStyle w:val="ListParagraph"/>
        <w:jc w:val="both"/>
        <w:rPr>
          <w:rFonts w:ascii="Times New Roman" w:hAnsi="Times New Roman" w:cs="Times New Roman"/>
        </w:rPr>
      </w:pPr>
      <w:r>
        <w:rPr>
          <w:rFonts w:cs="Times New Roman" w:ascii="Times New Roman" w:hAnsi="Times New Roman"/>
        </w:rPr>
        <w:t xml:space="preserve">Obowiązek dotyczy właścicieli nieruchomości </w:t>
      </w:r>
      <w:r>
        <w:rPr>
          <w:rFonts w:cs="Times New Roman" w:ascii="Times New Roman" w:hAnsi="Times New Roman"/>
          <w:color w:val="333333"/>
          <w:shd w:fill="FFFFFF" w:val="clear"/>
        </w:rPr>
        <w:t>o powierzchni powyżej 3500 m</w:t>
      </w:r>
      <w:r>
        <w:rPr>
          <w:rFonts w:cs="Times New Roman" w:ascii="Times New Roman" w:hAnsi="Times New Roman"/>
          <w:color w:val="333333"/>
          <w:shd w:fill="FFFFFF" w:val="clear"/>
          <w:vertAlign w:val="superscript"/>
        </w:rPr>
        <w:t>2</w:t>
      </w:r>
      <w:r>
        <w:rPr>
          <w:rFonts w:cs="Times New Roman" w:ascii="Times New Roman" w:hAnsi="Times New Roman"/>
          <w:color w:val="333333"/>
          <w:shd w:fill="FFFFFF" w:val="clear"/>
        </w:rPr>
        <w:t>na obszarach nieujętych w systemy kanalizacji otwartej lub zamkniętej</w:t>
      </w:r>
      <w:r>
        <w:rPr>
          <w:rFonts w:cs="Times New Roman" w:ascii="Times New Roman" w:hAnsi="Times New Roman"/>
          <w:color w:val="333333"/>
          <w:shd w:fill="FFFFFF" w:val="clear"/>
          <w:vertAlign w:val="superscript"/>
        </w:rPr>
        <w:t xml:space="preserve"> </w:t>
      </w:r>
      <w:r>
        <w:rPr>
          <w:rFonts w:cs="Times New Roman" w:ascii="Times New Roman" w:hAnsi="Times New Roman"/>
        </w:rPr>
        <w:t xml:space="preserve">w związku ze </w:t>
      </w:r>
      <w:r>
        <w:rPr>
          <w:rFonts w:cs="Times New Roman" w:ascii="Times New Roman" w:hAnsi="Times New Roman"/>
          <w:color w:val="333333"/>
          <w:shd w:fill="FFFFFF" w:val="clear"/>
        </w:rPr>
        <w:t>zmniejszeniem naturalnej retencji terenowej na skutek wykonywania na nieruchomości robót lub obiektów budowlanych trwale związanych z gruntem, mających wpływ na zmniejszenie tej retencji przez wyłączenie więcej niż 70% powierzchni nieruchomości z powierzchni biologicznie czynnej. Z</w:t>
      </w:r>
      <w:r>
        <w:rPr>
          <w:rFonts w:cs="Times New Roman" w:ascii="Times New Roman" w:hAnsi="Times New Roman"/>
        </w:rPr>
        <w:t xml:space="preserve">godnie z art. 269 ust. 1 pkt 1 ustawy Prawo wodne: </w:t>
      </w:r>
    </w:p>
    <w:p>
      <w:pPr>
        <w:pStyle w:val="ListParagraph"/>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Poprzez uszczelnienie terenu należy rozumieć jego zabudowanie (powierzchnia dachu budynku) oraz utwardzenie tj. wykonanie nieprzepuszczalnego podłoża (asfalt, beton, kostka brukowa). </w:t>
      </w:r>
    </w:p>
    <w:p>
      <w:pPr>
        <w:pStyle w:val="ListParagraph"/>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Otwarte systemy kanalizacji deszczowej to przede wszystkim rowy, a zamknięte systemy to kryte kanały deszczowe wraz ze studzienkami. </w:t>
      </w:r>
    </w:p>
    <w:p>
      <w:pPr>
        <w:pStyle w:val="ListParagraph"/>
        <w:ind w:left="720" w:firstLine="696"/>
        <w:jc w:val="both"/>
        <w:rPr>
          <w:rFonts w:ascii="Times New Roman" w:hAnsi="Times New Roman" w:cs="Times New Roman"/>
        </w:rPr>
      </w:pPr>
      <w:r>
        <w:rPr>
          <w:rFonts w:cs="Times New Roman" w:ascii="Times New Roman" w:hAnsi="Times New Roman"/>
        </w:rPr>
        <w:t xml:space="preserve">Wobec powyższego, jeżeli nieruchomość spełnia wymogi dotyczące powierzchni, ale jest podłączona do kanalizacji deszczowej (zamkniętej lub otwartej), to jest ona zwolniona              z ponoszenia opłaty za zmniejszenie naturalnej retencji terenowej. Zwolnienie z opłaty nie obejmuje natomiast nieruchomości, która posiada wyłącznie dostęp do kanalizacji sanitarnej. </w:t>
      </w:r>
    </w:p>
    <w:p>
      <w:pPr>
        <w:pStyle w:val="ListParagraph"/>
        <w:ind w:left="720" w:firstLine="696"/>
        <w:rPr>
          <w:rFonts w:ascii="Times New Roman" w:hAnsi="Times New Roman" w:cs="Times New Roman"/>
        </w:rPr>
      </w:pPr>
      <w:r>
        <w:rPr>
          <w:rFonts w:cs="Times New Roman" w:ascii="Times New Roman" w:hAnsi="Times New Roman"/>
          <w:b/>
        </w:rPr>
        <w:t>Do ponoszenia opłaty zobowiązane są:</w:t>
      </w:r>
      <w:r>
        <w:rPr>
          <w:rFonts w:cs="Times New Roman" w:ascii="Times New Roman" w:hAnsi="Times New Roman"/>
        </w:rPr>
        <w:t xml:space="preserve"> </w:t>
      </w:r>
    </w:p>
    <w:p>
      <w:pPr>
        <w:pStyle w:val="ListParagraph"/>
        <w:ind w:left="720" w:firstLine="69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osoby fizyczne, </w:t>
      </w:r>
    </w:p>
    <w:p>
      <w:pPr>
        <w:pStyle w:val="ListParagraph"/>
        <w:ind w:left="720" w:firstLine="69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osoby prawne, </w:t>
      </w:r>
    </w:p>
    <w:p>
      <w:pPr>
        <w:pStyle w:val="ListParagraph"/>
        <w:ind w:left="720" w:firstLine="69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jednostki organizacyjne, w tym spółki nieposiadające osobowości prawnej. </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rPr>
          <w:rFonts w:ascii="Times New Roman" w:hAnsi="Times New Roman" w:cs="Times New Roman"/>
          <w:b/>
          <w:b/>
          <w:sz w:val="24"/>
          <w:szCs w:val="24"/>
        </w:rPr>
      </w:pPr>
      <w:r>
        <w:rPr>
          <w:rFonts w:cs="Times New Roman" w:ascii="Times New Roman" w:hAnsi="Times New Roman"/>
          <w:b/>
          <w:sz w:val="24"/>
          <w:szCs w:val="24"/>
        </w:rPr>
        <w:t>Obliczanie wysokości opłaty retencyjnej</w:t>
      </w:r>
    </w:p>
    <w:p>
      <w:pPr>
        <w:pStyle w:val="ListParagraph"/>
        <w:rPr>
          <w:rFonts w:ascii="Times New Roman" w:hAnsi="Times New Roman" w:cs="Times New Roman"/>
        </w:rPr>
      </w:pPr>
      <w:r>
        <w:rPr>
          <w:rFonts w:cs="Times New Roman" w:ascii="Times New Roman" w:hAnsi="Times New Roman"/>
        </w:rPr>
      </w:r>
    </w:p>
    <w:p>
      <w:pPr>
        <w:pStyle w:val="ListParagraph"/>
        <w:ind w:left="720" w:firstLine="696"/>
        <w:jc w:val="both"/>
        <w:rPr>
          <w:rFonts w:ascii="Times New Roman" w:hAnsi="Times New Roman" w:cs="Times New Roman"/>
        </w:rPr>
      </w:pPr>
      <w:r>
        <w:rPr>
          <w:rFonts w:cs="Times New Roman" w:ascii="Times New Roman" w:hAnsi="Times New Roman"/>
        </w:rPr>
        <w:t xml:space="preserve">Sposób obliczania opłaty za tę usługę wodną reguluje art. 272 ust. 8 w/w ustawy. Wysokość opłaty retencyjnej zależy m.in. od powierzchni zabudowanego terenu, jego pokrycia (np. asfaltem, kostką) oraz od tego, czy znajduje się na nim obiekt do retencjonowania wody, tj. stawy, oczka wodne. Jednostkowe stawki opłat za usługi wodne - zmniejszenie naturalnej retencji terenowej, zgodnie z § 9 Rozporządzenia Rady Ministrów </w:t>
        <w:br/>
        <w:t xml:space="preserve">z dnia 22 grudnia 2017 r. w sprawie jednostkowych stawek opłat za usługi wodne (Dz.U. </w:t>
        <w:br/>
        <w:t xml:space="preserve">z 2021 r. poz. 736 ze zm.) wynoszą obecnie: </w:t>
      </w:r>
    </w:p>
    <w:p>
      <w:pPr>
        <w:pStyle w:val="ListParagraph"/>
        <w:jc w:val="both"/>
        <w:rPr>
          <w:rFonts w:ascii="Times New Roman" w:hAnsi="Times New Roman" w:cs="Times New Roman"/>
        </w:rPr>
      </w:pPr>
      <w:r>
        <w:rPr>
          <w:rFonts w:cs="Times New Roman" w:ascii="Times New Roman" w:hAnsi="Times New Roman"/>
        </w:rPr>
        <w:t xml:space="preserve">1) bez urządzeń do retencjonowania wody z powierzchni uszczelnionych, trwale związanych </w:t>
        <w:br/>
        <w:t xml:space="preserve">z gruntem – 0,50 zł za 1 m2 na 1 rok </w:t>
      </w:r>
    </w:p>
    <w:p>
      <w:pPr>
        <w:pStyle w:val="ListParagraph"/>
        <w:rPr>
          <w:rFonts w:ascii="Times New Roman" w:hAnsi="Times New Roman" w:cs="Times New Roman"/>
        </w:rPr>
      </w:pPr>
      <w:r>
        <w:rPr>
          <w:rFonts w:cs="Times New Roman" w:ascii="Times New Roman" w:hAnsi="Times New Roman"/>
        </w:rPr>
        <w:t xml:space="preserve">2) z urządzeniami do retencjonowania wody z powierzchni uszczelnionych o pojemności: </w:t>
      </w:r>
    </w:p>
    <w:p>
      <w:pPr>
        <w:pStyle w:val="ListParagrap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do 10% odpływu rocznego z powierzchni uszczelnionych trwale związanych z gruntem – 0,30 zł za 1 m2 na 1 rok, </w:t>
      </w:r>
    </w:p>
    <w:p>
      <w:pPr>
        <w:pStyle w:val="ListParagrap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od 10 do 30% odpływu rocznego z obszarów uszczelnionych trwale związanych z gruntem – 0,15 zł za 1 m2 na 1 rok, </w:t>
      </w:r>
    </w:p>
    <w:p>
      <w:pPr>
        <w:pStyle w:val="ListParagraph"/>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powyżej 30% odpływu rocznego z powierzchni uszczelnionych trwale związanych </w:t>
        <w:br/>
        <w:t xml:space="preserve">z gruntem – 0,05 zł za 1 m2 na 1 rok. </w:t>
      </w:r>
    </w:p>
    <w:p>
      <w:pPr>
        <w:pStyle w:val="ListParagraph"/>
        <w:jc w:val="both"/>
        <w:rPr>
          <w:rFonts w:ascii="Times New Roman" w:hAnsi="Times New Roman" w:cs="Times New Roman"/>
        </w:rPr>
      </w:pPr>
      <w:r>
        <w:rPr>
          <w:rFonts w:cs="Times New Roman" w:ascii="Times New Roman" w:hAnsi="Times New Roman"/>
        </w:rPr>
        <w:t xml:space="preserve">Wpływy z tytułu opłat za usługi wodne z tytułu zmniejszenia naturalnej retencji terenowej, </w:t>
        <w:br/>
        <w:t xml:space="preserve">o której mowa w art. 269 ust. 1 pkt 1, stanowią w 90% przychód Państwowego Gospodarstwa Wodnego Wody Polskie , a w 10% dochód budżetu gminy. </w:t>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rPr>
          <w:rFonts w:ascii="Times New Roman" w:hAnsi="Times New Roman" w:cs="Times New Roman"/>
          <w:b/>
          <w:b/>
          <w:sz w:val="24"/>
          <w:szCs w:val="24"/>
        </w:rPr>
      </w:pPr>
      <w:r>
        <w:rPr>
          <w:rFonts w:cs="Times New Roman" w:ascii="Times New Roman" w:hAnsi="Times New Roman"/>
          <w:b/>
          <w:sz w:val="24"/>
          <w:szCs w:val="24"/>
        </w:rPr>
        <w:t>Termin wniesienia opłaty</w:t>
      </w:r>
    </w:p>
    <w:p>
      <w:pPr>
        <w:pStyle w:val="ListParagraph"/>
        <w:rPr>
          <w:rFonts w:ascii="Times New Roman" w:hAnsi="Times New Roman" w:cs="Times New Roman"/>
          <w:b/>
          <w:b/>
          <w:sz w:val="24"/>
          <w:szCs w:val="24"/>
        </w:rPr>
      </w:pPr>
      <w:r>
        <w:rPr>
          <w:rFonts w:cs="Times New Roman" w:ascii="Times New Roman" w:hAnsi="Times New Roman"/>
          <w:b/>
          <w:sz w:val="24"/>
          <w:szCs w:val="24"/>
        </w:rPr>
      </w:r>
    </w:p>
    <w:p>
      <w:pPr>
        <w:pStyle w:val="ListParagraph"/>
        <w:jc w:val="both"/>
        <w:rPr>
          <w:rFonts w:ascii="Times New Roman" w:hAnsi="Times New Roman" w:cs="Times New Roman"/>
        </w:rPr>
      </w:pPr>
      <w:r>
        <w:rPr>
          <w:rFonts w:cs="Times New Roman" w:ascii="Times New Roman" w:hAnsi="Times New Roman"/>
        </w:rPr>
        <w:tab/>
        <w:t xml:space="preserve">Opłata odnosi się do jednej nieruchomości, co oznacza, iż dotyczy ona działek objętych </w:t>
      </w:r>
      <w:r>
        <w:rPr>
          <w:rFonts w:cs="Times New Roman" w:ascii="Times New Roman" w:hAnsi="Times New Roman"/>
          <w:u w:val="single"/>
        </w:rPr>
        <w:t>jedną księgą wieczystą</w:t>
      </w:r>
      <w:r>
        <w:rPr>
          <w:rFonts w:cs="Times New Roman" w:ascii="Times New Roman" w:hAnsi="Times New Roman"/>
        </w:rPr>
        <w:t xml:space="preserve">. Właściciel nieruchomości, którego niniejsza opłata dotyczy (patrz pkt. 1) ma obowiązek składania oświadczenia </w:t>
      </w:r>
      <w:r>
        <w:rPr>
          <w:rFonts w:cs="Times New Roman" w:ascii="Times New Roman" w:hAnsi="Times New Roman"/>
          <w:b/>
        </w:rPr>
        <w:t>raz na kwartał</w:t>
      </w:r>
      <w:r>
        <w:rPr>
          <w:rFonts w:cs="Times New Roman" w:ascii="Times New Roman" w:hAnsi="Times New Roman"/>
        </w:rPr>
        <w:t xml:space="preserve"> </w:t>
      </w:r>
      <w:r>
        <w:rPr>
          <w:rFonts w:cs="Times New Roman" w:ascii="Times New Roman" w:hAnsi="Times New Roman"/>
          <w:b/>
        </w:rPr>
        <w:t>(osobno dla każdej księgi wieczystej, pod numerem której znajduje się nieruchomość lub jej część).</w:t>
      </w:r>
      <w:r>
        <w:rPr>
          <w:rFonts w:cs="Times New Roman" w:ascii="Times New Roman" w:hAnsi="Times New Roman"/>
        </w:rPr>
        <w:t xml:space="preserve"> Burmistrz po otrzymaniu oświadczenia zgodnie z art. 272 ust. 10 i 22 ustawy Prawo wodne, weryfikuje zawarte w nim dane, a następnie w formie informacji ustala wysokość opłaty retencyjnej za dany kwartał. Opłatę wylicza się kwartalnie na podstawie iloczynu jednostkowej stawki opłaty, wyrażonej w m2 wielkości utraconej powierzchni biologicznie czynnej oraz czasu określonego w latach. Nie ma ona charakteru stałego, ponieważ na skutek działań właściciela jej wartość może ulegać zmianie. Ustalenie wysokości opłaty za usługę wodną następuje na podstawie oświadczeń podmiotów zobowiązanych do ponoszenia opłat za usługi wodne (art. 552 ust. 2 a pkt 2 oraz ust. 2 b ustawy Prawo wodne). </w:t>
      </w:r>
    </w:p>
    <w:p>
      <w:pPr>
        <w:pStyle w:val="ListParagraph"/>
        <w:jc w:val="both"/>
        <w:rPr>
          <w:rFonts w:ascii="Times New Roman" w:hAnsi="Times New Roman" w:cs="Times New Roman"/>
        </w:rPr>
      </w:pPr>
      <w:r>
        <w:rPr>
          <w:rFonts w:cs="Times New Roman" w:ascii="Times New Roman" w:hAnsi="Times New Roman"/>
        </w:rPr>
        <w:t xml:space="preserve">Termin złożenia oświadczenia do Burmistrza Miasta i Gminy Lutomiersk wynosi 30 dni </w:t>
        <w:br/>
        <w:t>od dnia, w którym upłynął dzień przypadający na koniec kwartału:</w:t>
      </w:r>
    </w:p>
    <w:p>
      <w:pPr>
        <w:pStyle w:val="ListParagraph"/>
        <w:jc w:val="both"/>
        <w:rPr>
          <w:rFonts w:ascii="Times New Roman" w:hAnsi="Times New Roman" w:cs="Times New Roman"/>
        </w:rPr>
      </w:pPr>
      <w:r>
        <w:rPr>
          <w:rFonts w:cs="Times New Roman" w:ascii="Times New Roman" w:hAnsi="Times New Roman"/>
        </w:rPr>
        <w:t xml:space="preserve">I kwartał - do dnia 30 kwietnia </w:t>
      </w:r>
    </w:p>
    <w:p>
      <w:pPr>
        <w:pStyle w:val="ListParagraph"/>
        <w:jc w:val="both"/>
        <w:rPr>
          <w:rFonts w:ascii="Times New Roman" w:hAnsi="Times New Roman" w:cs="Times New Roman"/>
        </w:rPr>
      </w:pPr>
      <w:r>
        <w:rPr>
          <w:rFonts w:cs="Times New Roman" w:ascii="Times New Roman" w:hAnsi="Times New Roman"/>
        </w:rPr>
        <w:t xml:space="preserve">II kwartał - do dnia 30 lipca </w:t>
      </w:r>
    </w:p>
    <w:p>
      <w:pPr>
        <w:pStyle w:val="ListParagraph"/>
        <w:jc w:val="both"/>
        <w:rPr>
          <w:rFonts w:ascii="Times New Roman" w:hAnsi="Times New Roman" w:cs="Times New Roman"/>
        </w:rPr>
      </w:pPr>
      <w:r>
        <w:rPr>
          <w:rFonts w:cs="Times New Roman" w:ascii="Times New Roman" w:hAnsi="Times New Roman"/>
        </w:rPr>
        <w:t>III kwartał - do dnia 3</w:t>
      </w:r>
      <w:r>
        <w:rPr>
          <w:rFonts w:cs="Times New Roman" w:ascii="Times New Roman" w:hAnsi="Times New Roman"/>
        </w:rPr>
        <w:t>1</w:t>
      </w:r>
      <w:r>
        <w:rPr>
          <w:rFonts w:cs="Times New Roman" w:ascii="Times New Roman" w:hAnsi="Times New Roman"/>
        </w:rPr>
        <w:t xml:space="preserve"> października </w:t>
      </w:r>
    </w:p>
    <w:p>
      <w:pPr>
        <w:pStyle w:val="ListParagraph"/>
        <w:jc w:val="both"/>
        <w:rPr>
          <w:rFonts w:ascii="Times New Roman" w:hAnsi="Times New Roman" w:cs="Times New Roman"/>
        </w:rPr>
      </w:pPr>
      <w:bookmarkStart w:id="0" w:name="_GoBack"/>
      <w:bookmarkEnd w:id="0"/>
      <w:r>
        <w:rPr>
          <w:rFonts w:cs="Times New Roman" w:ascii="Times New Roman" w:hAnsi="Times New Roman"/>
        </w:rPr>
        <w:t xml:space="preserve">IV kwartał - do dnia 30 stycznia po roku kalendarzowym, którego dotyczy kwartał* </w:t>
      </w:r>
      <w:r>
        <w:rPr>
          <w:rFonts w:cs="Times New Roman" w:ascii="Times New Roman" w:hAnsi="Times New Roman"/>
          <w:i/>
          <w:sz w:val="18"/>
          <w:szCs w:val="18"/>
        </w:rPr>
        <w:t xml:space="preserve">oświadczenia za IV kwartał 2026 r. podmioty korzystające z usług wodnych składają </w:t>
        <w:br/>
        <w:t xml:space="preserve">w terminie do 14.01.2027 r. </w:t>
      </w:r>
    </w:p>
    <w:p>
      <w:pPr>
        <w:pStyle w:val="ListParagraph"/>
        <w:jc w:val="both"/>
        <w:rPr>
          <w:rFonts w:ascii="Times New Roman" w:hAnsi="Times New Roman" w:cs="Times New Roman"/>
        </w:rPr>
      </w:pPr>
      <w:r>
        <w:rPr>
          <w:rFonts w:cs="Times New Roman" w:ascii="Times New Roman" w:hAnsi="Times New Roman"/>
        </w:rPr>
      </w:r>
    </w:p>
    <w:p>
      <w:pPr>
        <w:pStyle w:val="ListParagraph"/>
        <w:jc w:val="both"/>
        <w:rPr>
          <w:rFonts w:ascii="Times New Roman" w:hAnsi="Times New Roman" w:cs="Times New Roman"/>
        </w:rPr>
      </w:pPr>
      <w:r>
        <w:rPr>
          <w:rFonts w:cs="Times New Roman" w:ascii="Times New Roman" w:hAnsi="Times New Roman"/>
          <w:b/>
        </w:rPr>
        <w:t>Wniesienie opłaty powinno nastąpić w terminie 14 dni od dnia, w którym doręczono informację ustalającą wysokość należności,</w:t>
      </w:r>
      <w:r>
        <w:rPr>
          <w:rFonts w:cs="Times New Roman" w:ascii="Times New Roman" w:hAnsi="Times New Roman"/>
        </w:rPr>
        <w:t xml:space="preserve"> na rachunek bankowy Urzędu Miasta i Gminy Lutomiersk.</w:t>
      </w:r>
    </w:p>
    <w:p>
      <w:pPr>
        <w:pStyle w:val="ListParagraph"/>
        <w:jc w:val="both"/>
        <w:rPr>
          <w:rFonts w:ascii="Times New Roman" w:hAnsi="Times New Roman" w:cs="Times New Roman"/>
        </w:rPr>
      </w:pPr>
      <w:r>
        <w:rPr>
          <w:rFonts w:cs="Times New Roman" w:ascii="Times New Roman" w:hAnsi="Times New Roman"/>
        </w:rPr>
      </w:r>
    </w:p>
    <w:p>
      <w:pPr>
        <w:pStyle w:val="ListParagraph"/>
        <w:numPr>
          <w:ilvl w:val="0"/>
          <w:numId w:val="1"/>
        </w:numPr>
        <w:jc w:val="both"/>
        <w:rPr>
          <w:rFonts w:ascii="Times New Roman" w:hAnsi="Times New Roman" w:cs="Times New Roman"/>
          <w:b/>
          <w:b/>
          <w:sz w:val="24"/>
          <w:szCs w:val="24"/>
        </w:rPr>
      </w:pPr>
      <w:r>
        <w:rPr>
          <w:rFonts w:cs="Times New Roman" w:ascii="Times New Roman" w:hAnsi="Times New Roman"/>
          <w:b/>
          <w:sz w:val="24"/>
          <w:szCs w:val="24"/>
        </w:rPr>
        <w:t xml:space="preserve">Konsekwencje nie wniesienia opłaty </w:t>
      </w:r>
    </w:p>
    <w:p>
      <w:pPr>
        <w:pStyle w:val="ListParagraph"/>
        <w:ind w:left="720" w:firstLine="696"/>
        <w:jc w:val="both"/>
        <w:rPr>
          <w:rFonts w:ascii="Times New Roman" w:hAnsi="Times New Roman" w:cs="Times New Roman"/>
        </w:rPr>
      </w:pPr>
      <w:r>
        <w:rPr>
          <w:rFonts w:cs="Times New Roman" w:ascii="Times New Roman" w:hAnsi="Times New Roman"/>
        </w:rPr>
        <w:t xml:space="preserve">Podmiot zobowiązany do ponoszenia opłat za usługi wodne, który otrzymał informację o uiszczeniu stosownej opłaty, jeżeli nie zgadza się z jej wysokością, może złożyć reklamację. Reklamację składa się do Burmistrza Miasta i Gminy Lutomiersk, w terminie nie dłuższym niż 14 dni od dnia otrzymania informacji. W razie nieuznania reklamacji przez burmistrza, określi on wysokość opłaty za usługi wodne w drodze decyzji. Również </w:t>
        <w:br/>
        <w:t xml:space="preserve">w przypadku, gdy podmiot zobligowany do wniesienia opłaty nie wykona swojego obowiązku Burmistrz, na podstawie art. 272 ust. 24 Ustawy Prawo wodne, z urzędu wyda decyzję określającą wysokość opłaty. Złożenie reklamacji, jak i zaskarżenie decyzji, nie wstrzymuje obowiązku wniesienia opłaty. </w:t>
      </w:r>
    </w:p>
    <w:p>
      <w:pPr>
        <w:pStyle w:val="ListParagraph"/>
        <w:ind w:left="720" w:firstLine="696"/>
        <w:jc w:val="both"/>
        <w:rPr>
          <w:rFonts w:ascii="Times New Roman" w:hAnsi="Times New Roman" w:cs="Times New Roman"/>
        </w:rPr>
      </w:pPr>
      <w:r>
        <w:rPr>
          <w:rFonts w:cs="Times New Roman" w:ascii="Times New Roman" w:hAnsi="Times New Roman"/>
        </w:rPr>
        <w:t xml:space="preserve">Zgodnie z art. 300 ust. 1 ustawy Prawo wodne do ponoszenia opłat za usługi wodne stosuje się przepisy działu III ustawy z dnia 29 sierpnia 1997 r. Ordynacja podatkowa (Dz. U. z 2022 r. poz. 2651 ze zm.). </w:t>
      </w:r>
    </w:p>
    <w:p>
      <w:pPr>
        <w:pStyle w:val="Normal"/>
        <w:spacing w:before="0" w:after="200"/>
        <w:jc w:val="both"/>
        <w:rPr>
          <w:rFonts w:ascii="Times New Roman" w:hAnsi="Times New Roman" w:cs="Times New Roman"/>
        </w:rPr>
      </w:pPr>
      <w:r>
        <w:rPr>
          <w:rFonts w:cs="Times New Roman" w:ascii="Times New Roman" w:hAnsi="Times New Roman"/>
        </w:rPr>
        <w:t xml:space="preserve">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uiPriority w:val="34"/>
    <w:qFormat/>
    <w:rsid w:val="007b7fc7"/>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1379</TotalTime>
  <Application>LibreOffice/7.3.2.2$Windows_X86_64 LibreOffice_project/49f2b1bff42cfccbd8f788c8dc32c1c309559be0</Application>
  <AppVersion>15.0000</AppVersion>
  <Pages>2</Pages>
  <Words>841</Words>
  <Characters>4764</Characters>
  <CharactersWithSpaces>5621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2023-06-29T06:22:00Z</dcterms:created>
  <dc:creator>Anna Pertkiewicz</dc:creator>
  <dc:description/>
  <dc:language>pl-PL</dc:language>
  <cp:lastModifiedBy/>
  <dcterms:modified xsi:type="dcterms:W3CDTF">2023-11-08T13:23:50Z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