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36E69" w14:textId="752B994B" w:rsidR="0090152E" w:rsidRPr="00B52005" w:rsidRDefault="0090152E" w:rsidP="00B52005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Załącznik Nr </w:t>
      </w:r>
      <w:r w:rsidR="00D62DEF">
        <w:rPr>
          <w:rFonts w:cstheme="minorHAnsi"/>
          <w:sz w:val="16"/>
          <w:szCs w:val="16"/>
        </w:rPr>
        <w:t>2</w:t>
      </w:r>
      <w:r>
        <w:rPr>
          <w:rFonts w:cstheme="minorHAnsi"/>
          <w:sz w:val="16"/>
          <w:szCs w:val="16"/>
        </w:rPr>
        <w:t xml:space="preserve"> do Ogłoszenia</w:t>
      </w:r>
    </w:p>
    <w:p w14:paraId="12EF58BC" w14:textId="77777777" w:rsidR="0090152E" w:rsidRDefault="0090152E" w:rsidP="0090152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14:paraId="032BECAF" w14:textId="77777777" w:rsidR="0090152E" w:rsidRDefault="0090152E" w:rsidP="0090152E">
      <w:pPr>
        <w:spacing w:after="0" w:line="240" w:lineRule="auto"/>
        <w:jc w:val="both"/>
        <w:rPr>
          <w:rFonts w:eastAsia="Calibri" w:cstheme="minorHAnsi"/>
        </w:rPr>
      </w:pPr>
    </w:p>
    <w:p w14:paraId="4723A005" w14:textId="77777777" w:rsidR="0090152E" w:rsidRDefault="0090152E" w:rsidP="0090152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3CBEC8FB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6" w:history="1">
        <w:r>
          <w:rPr>
            <w:rStyle w:val="Hipercze"/>
            <w:rFonts w:eastAsia="Calibri" w:cstheme="minorHAnsi"/>
          </w:rPr>
          <w:t>ug@lutomiersk.pl</w:t>
        </w:r>
      </w:hyperlink>
      <w:r>
        <w:rPr>
          <w:rFonts w:eastAsia="Calibri" w:cstheme="minorHAnsi"/>
        </w:rPr>
        <w:t>, tel. 43 677 50 11.</w:t>
      </w:r>
    </w:p>
    <w:p w14:paraId="7E312038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14:paraId="3DADF8C8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Przetwarzanie danych następuje w celu przeprowadzenia i realizacji postępowania </w:t>
      </w:r>
      <w:r>
        <w:t xml:space="preserve">mającego na celu sprzedaż mienia ruchomego Gminy. </w:t>
      </w:r>
    </w:p>
    <w:p w14:paraId="562DF4FC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>Podstawą prawną przetwarzania danych osobowych jest ustawa z dnia 8 marca 1990 r. o samorządzie gminnym.</w:t>
      </w:r>
      <w:r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sprzedaży, co jest zgodne z artykułem  6 ust. 1 lit. b i c ogólnego rozporządzenia o ochronie danych.</w:t>
      </w:r>
    </w:p>
    <w:p w14:paraId="3C1C49B4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Odbiorcą danych będą </w:t>
      </w:r>
      <w:r>
        <w:rPr>
          <w:rFonts w:ascii="Calibri" w:hAnsi="Calibri" w:cs="Calibri"/>
          <w:color w:val="000000" w:themeColor="text1"/>
        </w:rPr>
        <w:t>członkowie komisji przetargowej</w:t>
      </w:r>
      <w:r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24445649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5 lat, licząc od 1 stycznia roku następnego po zakończeniu Pani/Pana sprawy. Po uzyskaniu zgody dyrektora Archiwum Państwowego w Łodzi zostaną zniszczone. </w:t>
      </w:r>
    </w:p>
    <w:p w14:paraId="6CAEE477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14:paraId="0C7FA10B" w14:textId="77777777" w:rsidR="0090152E" w:rsidRDefault="0090152E" w:rsidP="0090152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dostępu do swoich danych osobowych, w tym do uzyskania kopii tych danych,  </w:t>
      </w:r>
    </w:p>
    <w:p w14:paraId="1751E78F" w14:textId="77777777" w:rsidR="0090152E" w:rsidRDefault="0090152E" w:rsidP="0090152E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ich sprostowania (poprawiania w przypadku gdy są niepoprawne lub niekompletne), </w:t>
      </w:r>
    </w:p>
    <w:p w14:paraId="3C2D1425" w14:textId="77777777" w:rsidR="0090152E" w:rsidRDefault="0090152E" w:rsidP="0090152E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14:paraId="286A95F3" w14:textId="77777777" w:rsidR="0090152E" w:rsidRDefault="0090152E" w:rsidP="0090152E">
      <w:pPr>
        <w:spacing w:after="0" w:line="240" w:lineRule="auto"/>
        <w:ind w:left="28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Aby skorzystać z powyższych praw, skontaktuj się z Inspektorem Ochrony Danych </w:t>
      </w:r>
      <w:r>
        <w:rPr>
          <w:rFonts w:eastAsia="Calibri" w:cstheme="minorHAnsi"/>
          <w:sz w:val="18"/>
          <w:szCs w:val="18"/>
        </w:rPr>
        <w:t>(dane kontaktowe powyżej).</w:t>
      </w:r>
    </w:p>
    <w:p w14:paraId="1C076232" w14:textId="77777777" w:rsidR="0090152E" w:rsidRDefault="0090152E" w:rsidP="0090152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wniesienia skargi do organu nadzorczego – Prezes Urzędu Ochrony Danych – w przypadku stwierdzenia, że przetwarzanie danych narusza przepisy ogólnego rozporządzenia o ochronie danych osobowych. </w:t>
      </w:r>
    </w:p>
    <w:p w14:paraId="624EE69D" w14:textId="77777777" w:rsidR="0090152E" w:rsidRPr="00C106B0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b/>
          <w:bCs/>
          <w:color w:val="000000" w:themeColor="text1"/>
        </w:rPr>
      </w:pPr>
      <w:r>
        <w:rPr>
          <w:rFonts w:eastAsia="Calibri" w:cs="Times New Roman"/>
          <w:color w:val="000000" w:themeColor="text1"/>
        </w:rPr>
        <w:t>Podanie danych jest dobrowolne i służy jedynie przeprowadzeniu i realizacji postępowania w zakresie sprzedaży składników rzeczowych</w:t>
      </w:r>
      <w:r w:rsidRPr="00C106B0">
        <w:rPr>
          <w:rFonts w:eastAsia="Calibri" w:cs="Times New Roman"/>
          <w:b/>
          <w:bCs/>
          <w:color w:val="000000" w:themeColor="text1"/>
        </w:rPr>
        <w:t xml:space="preserve">. Odmowa podania danych jest równoznaczna z brakiem możliwości udziału w postępowaniu. </w:t>
      </w:r>
    </w:p>
    <w:p w14:paraId="07F1F5B2" w14:textId="77777777" w:rsidR="0090152E" w:rsidRDefault="0090152E" w:rsidP="0090152E">
      <w:pPr>
        <w:spacing w:before="60" w:after="0" w:line="240" w:lineRule="auto"/>
        <w:ind w:left="283"/>
        <w:jc w:val="both"/>
        <w:rPr>
          <w:rFonts w:eastAsia="Calibri" w:cs="Times New Roman"/>
          <w:color w:val="000000" w:themeColor="text1"/>
        </w:rPr>
      </w:pPr>
    </w:p>
    <w:p w14:paraId="686B6D47" w14:textId="77777777" w:rsidR="0090152E" w:rsidRDefault="0090152E" w:rsidP="0090152E">
      <w:pPr>
        <w:spacing w:before="60" w:after="0" w:line="240" w:lineRule="auto"/>
        <w:ind w:left="5664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>………………………………………………..</w:t>
      </w:r>
    </w:p>
    <w:p w14:paraId="389F4FFA" w14:textId="18F892C8" w:rsidR="00B52005" w:rsidRDefault="00B52005" w:rsidP="00B52005">
      <w:pPr>
        <w:spacing w:before="60" w:after="0" w:line="240" w:lineRule="auto"/>
        <w:ind w:left="5664"/>
        <w:jc w:val="both"/>
        <w:rPr>
          <w:rFonts w:eastAsia="Calibri" w:cs="Times New Roman"/>
          <w:color w:val="000000" w:themeColor="text1"/>
          <w:sz w:val="16"/>
          <w:szCs w:val="16"/>
        </w:rPr>
      </w:pPr>
      <w:r>
        <w:rPr>
          <w:rFonts w:eastAsia="Calibri" w:cs="Times New Roman"/>
          <w:color w:val="000000" w:themeColor="text1"/>
          <w:sz w:val="16"/>
          <w:szCs w:val="16"/>
        </w:rPr>
        <w:t>(podpis oferenta)</w:t>
      </w:r>
    </w:p>
    <w:p w14:paraId="6684F64F" w14:textId="52CBF2BA" w:rsidR="001F42BE" w:rsidRDefault="001F42BE"/>
    <w:sectPr w:rsidR="001F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A"/>
    <w:rsid w:val="001F42BE"/>
    <w:rsid w:val="0090152E"/>
    <w:rsid w:val="00B52005"/>
    <w:rsid w:val="00C106B0"/>
    <w:rsid w:val="00D62DEF"/>
    <w:rsid w:val="00E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47EE"/>
  <w15:chartTrackingRefBased/>
  <w15:docId w15:val="{D059F2C4-361D-49CF-A73E-63A68DCC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5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1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0052-4D31-41BE-81C7-4411A33E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8</cp:revision>
  <dcterms:created xsi:type="dcterms:W3CDTF">2025-07-03T11:48:00Z</dcterms:created>
  <dcterms:modified xsi:type="dcterms:W3CDTF">2025-09-16T06:03:00Z</dcterms:modified>
</cp:coreProperties>
</file>