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contextualSpacing/>
        <w:rPr>
          <w:rFonts w:ascii="Century Gothic" w:hAnsi="Century Gothic"/>
          <w:b/>
          <w:b/>
          <w:bCs/>
          <w:color w:val="000000" w:themeColor="text1"/>
          <w:sz w:val="12"/>
          <w:szCs w:val="12"/>
        </w:rPr>
      </w:pPr>
      <w:r>
        <w:rPr>
          <w:rFonts w:ascii="Century Gothic" w:hAnsi="Century Gothic"/>
          <w:b/>
          <w:bCs/>
          <w:color w:val="000000" w:themeColor="text1"/>
          <w:sz w:val="12"/>
          <w:szCs w:val="12"/>
        </w:rPr>
        <w:t>INFORMACJA O ZASADACH PRZETWARZANIA DANYCH OSOBOWYCH</w:t>
      </w:r>
    </w:p>
    <w:p>
      <w:pPr>
        <w:pStyle w:val="Normal"/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 xml:space="preserve">TEMAT: 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DEKLARACJA WYRAŻENIA CHĘCI SKORZYSTANIA Z DOFINANSOWANIA W RAMACH PROGRAMU „CIEPŁE MIESZKANIE”.</w:t>
      </w:r>
    </w:p>
    <w:p>
      <w:pPr>
        <w:pStyle w:val="Normal"/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b/>
          <w:b/>
          <w:bCs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KOGO DOTYCZY INFORMACJA: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WNIOSKODAWCA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Kto wykorzystuje dane:</w:t>
      </w:r>
      <w:r>
        <w:rPr>
          <w:rFonts w:ascii="Century Gothic" w:hAnsi="Century Gothic"/>
          <w:color w:val="000000" w:themeColor="text1"/>
          <w:sz w:val="12"/>
          <w:szCs w:val="12"/>
        </w:rPr>
        <w:t xml:space="preserve"> 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Wójt Gminy Leżajsk.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 xml:space="preserve">Kontakt: 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ul. Opalińskiego 2, 37-300 Leżajsk, tel. (017) </w:t>
      </w:r>
      <w:r>
        <w:rPr>
          <w:rFonts w:cs="Arial" w:ascii="Century Gothic" w:hAnsi="Century Gothic"/>
          <w:color w:val="000000" w:themeColor="text1"/>
          <w:sz w:val="12"/>
          <w:szCs w:val="12"/>
          <w:shd w:fill="FFFFFF" w:val="clear"/>
        </w:rPr>
        <w:t> 240 62 00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, </w:t>
      </w:r>
      <w:r>
        <w:rPr>
          <w:rFonts w:ascii="Century Gothic" w:hAnsi="Century Gothic"/>
          <w:color w:val="000000" w:themeColor="text1"/>
          <w:sz w:val="12"/>
          <w:szCs w:val="12"/>
        </w:rPr>
        <w:t>sekretariat@poczta.gminalezajsk.pl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Inspektor ochrony danych: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</w:t>
      </w:r>
      <w:r>
        <w:rPr>
          <w:rStyle w:val="Czeinternetowe"/>
          <w:rFonts w:cs="Calibri" w:ascii="Century Gothic" w:hAnsi="Century Gothic" w:cstheme="minorHAnsi"/>
          <w:color w:val="000000" w:themeColor="text1"/>
          <w:sz w:val="12"/>
          <w:szCs w:val="12"/>
        </w:rPr>
        <w:t>iod@poczta.gminalezajsk.pl.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Kim jest inspektor ochrony danych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: inspektor jest specjalistą z zakresu ochrony danych osobowych.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Cel wykorzystania danych: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zebranie deklaracji w celu ubiegania się o uzyskanie dofinansowania na rzecz odbiorcy końcowego – osób deklarujących – w ramach programu „Ciepłe Mieszkanie”.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Podstawa prawna: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art. 6 ust. 1 lit. e) Ogólnego rozporządzenia o ochronie danych (</w:t>
      </w:r>
      <w:r>
        <w:rPr>
          <w:rFonts w:cs="Open Sans" w:ascii="Century Gothic" w:hAnsi="Century Gothic"/>
          <w:color w:val="000000" w:themeColor="text1"/>
          <w:sz w:val="12"/>
          <w:szCs w:val="12"/>
          <w:shd w:fill="FFFFFF" w:val="clear"/>
        </w:rPr>
        <w:t>przetwarzanie jest niezbędne do wykonania zadania realizowanego w interesie publicznym)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w związku z przepisami regulującymi tryb wnioskowania oraz uzyskiwania wsparcia w ramach programów finansowanych ze środków publicznych.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 xml:space="preserve">Skąd pochodzą dane osobowe: 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bezpośrednio od osoby, której dane dotyczą.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 xml:space="preserve">Kto otrzyma dane: 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dostawca programu do elektronicznego zarządzania dokumentacją; kancelarie adwokackie, radcowskie i doradztwa prawnego, którym zlecono świadczenie pomocy prawnej.</w:t>
      </w:r>
    </w:p>
    <w:p>
      <w:pPr>
        <w:pStyle w:val="ListParagraph"/>
        <w:numPr>
          <w:ilvl w:val="0"/>
          <w:numId w:val="1"/>
        </w:numPr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 xml:space="preserve">Okres przechowywania danych: </w:t>
      </w: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10 lat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>, licząc od dnia 1 stycznia roku następnego od daty złożenia deklaracji.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Dlaczego tak długo: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Okres </w:t>
      </w: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10 letni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Przysługujące prawa:</w:t>
      </w:r>
    </w:p>
    <w:tbl>
      <w:tblPr>
        <w:tblStyle w:val="Tabela-Siatka"/>
        <w:tblW w:w="10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1"/>
        <w:gridCol w:w="3538"/>
        <w:gridCol w:w="4071"/>
        <w:gridCol w:w="1345"/>
      </w:tblGrid>
      <w:tr>
        <w:trPr>
          <w:tblHeader w:val="true"/>
        </w:trPr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PRZYSŁUGUJĄCE PRAWO</w:t>
            </w:r>
          </w:p>
        </w:tc>
        <w:tc>
          <w:tcPr>
            <w:tcW w:w="3538" w:type="dxa"/>
            <w:tcBorders>
              <w:top w:val="single" w:sz="12" w:space="0" w:color="000000"/>
              <w:bottom w:val="single" w:sz="12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NA CZYM POLEGA</w:t>
            </w:r>
          </w:p>
        </w:tc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ZASTRZEŻENIA</w:t>
            </w:r>
          </w:p>
        </w:tc>
        <w:tc>
          <w:tcPr>
            <w:tcW w:w="13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JAK SKORZYSTAĆ</w:t>
            </w:r>
          </w:p>
        </w:tc>
      </w:tr>
      <w:tr>
        <w:trPr/>
        <w:tc>
          <w:tcPr>
            <w:tcW w:w="148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Dostępu do danych</w:t>
            </w:r>
          </w:p>
        </w:tc>
        <w:tc>
          <w:tcPr>
            <w:tcW w:w="353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Prawo do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uzyskania informacji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o tym czy Wójt Gminy Leżajsk dysponuje danymi zainteresowanej osoby, jakie są to dane oraz jak są wykorzystywane.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Informacje przekazuje się w formie notatki.</w:t>
            </w:r>
          </w:p>
        </w:tc>
        <w:tc>
          <w:tcPr>
            <w:tcW w:w="4071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Prawo dostępu do danych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nie polega na przekazaniu kopii dokumentacji. 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Dostęp do niektórych informacji może być ograniczony, jeżeli wymaga tego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ochrona praw i wolności innych osób.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Przed udzieleniem dostępu do danych, Wójt Gminy Leżajsk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może żądać dodatkowych informacji,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celem zweryfikowania czy udziela dostępu do danych właściwej osobie.</w:t>
            </w:r>
          </w:p>
        </w:tc>
        <w:tc>
          <w:tcPr>
            <w:tcW w:w="134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Złóż wniosek – dane kontaktowe znajdują się w punkcie 1. i 2.</w:t>
            </w:r>
          </w:p>
        </w:tc>
      </w:tr>
      <w:tr>
        <w:trPr/>
        <w:tc>
          <w:tcPr>
            <w:tcW w:w="148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Sprostowania danych</w:t>
            </w:r>
          </w:p>
        </w:tc>
        <w:tc>
          <w:tcPr>
            <w:tcW w:w="3538" w:type="dxa"/>
            <w:tcBorders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Prawo do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poprawiania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nieprawidłowych danych,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aktualizacji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nieaktualnych oraz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uzupełniania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niekompletnych.</w:t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134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Złóż wniosek – dane kontaktowe znajdują się w punkcie 1. i 2.</w:t>
            </w:r>
          </w:p>
        </w:tc>
      </w:tr>
      <w:tr>
        <w:trPr/>
        <w:tc>
          <w:tcPr>
            <w:tcW w:w="148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Usunięcia danych</w:t>
            </w:r>
          </w:p>
        </w:tc>
        <w:tc>
          <w:tcPr>
            <w:tcW w:w="3538" w:type="dxa"/>
            <w:tcBorders/>
          </w:tcPr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Poproś nas o 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skasowanie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Twoich danych osobowych.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Prawo do usunięcia danych przysługuje wyłącznie, gdy: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1. Państwa dane osobowe nie są nam już potrzebne do osiągnięcia naszych celów albo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2. 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wnieśliście Państwo sprzeciw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, który okazał się być słuszny albo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3. Państwa dane osobowe są wykorzystywane 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niezgodnie z prawem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albo 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4. 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w konkretnym przypadku spoczywa na nas prawny obowiązek usunięcia Państwa danych osobowych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. 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Odmówimy Państwu prawa do usunięcia danych, gdy: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1. dane osobowe będą nam niezbędne do wywiązania się z obowiązku prawnego albo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2. dane osobowe będą niezbędne do wykonania zadań archiwalnych, realizowanych w interesie publicznym, do badań naukowych lub historycznych lub do celów statystycznych. Odmowa nastąpi pod warunkiem, że usunięcie danych poważnie utrudni lub uniemożliwi nam realizację tych celów albo</w:t>
            </w:r>
          </w:p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cs="Arial"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3. dane osobowe będą niezbędne do ustalenia, dochodzenia lub obrony roszczeń.</w:t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Przysługuje wyłącznie, gdy: dane zainteresowanej osoby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nie są już potrzebne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lub są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wykorzystywane niezgodnie z prawem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albo w konkretnym przypadku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istnieje prawny obowiązek ich usunięcia.</w:t>
            </w:r>
          </w:p>
        </w:tc>
        <w:tc>
          <w:tcPr>
            <w:tcW w:w="134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Złóż wniosek – dane kontaktowe znajdują się w punkcie 1. i 2.</w:t>
            </w:r>
          </w:p>
        </w:tc>
      </w:tr>
      <w:tr>
        <w:trPr/>
        <w:tc>
          <w:tcPr>
            <w:tcW w:w="148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Ograniczenia przetwarzania</w:t>
            </w:r>
          </w:p>
        </w:tc>
        <w:tc>
          <w:tcPr>
            <w:tcW w:w="3538" w:type="dxa"/>
            <w:tcBorders/>
            <w:vAlign w:val="center"/>
          </w:tcPr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Poproś nas, abyśmy nie wykorzystywali więcej Twoich danych osobowych z uwagi na co najmniej jedną z poniższych okoliczności: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1. 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kwestionujecie Państwo prawidłowość danych osobowych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  – ograniczymy przetwarzanie na okres pozwalający sprawdzić prawidłowość tych danych albo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2. Państwa dane osobowe są wykorzystywane 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niezgodnie z prawem lecz sprzeciwiacie wiacie się Państwo ich usunięciu, żądając w zamian ograniczenia przetwarzania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albo</w:t>
            </w:r>
          </w:p>
          <w:p>
            <w:pPr>
              <w:pStyle w:val="ZTabelaTekst"/>
              <w:widowControl/>
              <w:spacing w:before="0" w:after="80"/>
              <w:jc w:val="both"/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3</w:t>
            </w:r>
            <w:r>
              <w:rPr>
                <w:rFonts w:cs="Arial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. nie potrzebujemy już Państwa danych osobowych do osiągnięcia naszych celów,</w:t>
            </w:r>
            <w:r>
              <w:rPr>
                <w:rFonts w:cs="Arial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ale są one niezbędne Państwu do ustalenia, dochodzenia lub obrony roszczeń; </w:t>
            </w:r>
          </w:p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cs="Arial"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4. </w:t>
            </w:r>
            <w:r>
              <w:rPr>
                <w:rFonts w:cs="Arial"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wnieśliście Państwo sprzeciw</w:t>
            </w:r>
            <w:r>
              <w:rPr>
                <w:rFonts w:cs="Arial"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– ograniczymy przetwarzanie do czasu ustalenia jego zasadności.</w:t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Przysługuje wyłącznie, gdy: zainteresowana osoba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kwestionuje prawidłowość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swoich danych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lub jeśli jej dane są wykorzystywane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niezgodnie z prawem lecz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zainteresowana osoba sprzeciwia się ich usunięciu 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lub gdy dane zainteresowanej osoby nie są już potrzebne lecz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są one potrzebne tej osobie do dochodzenia roszczeń lub obrony przed roszczeniami.</w:t>
            </w:r>
          </w:p>
        </w:tc>
        <w:tc>
          <w:tcPr>
            <w:tcW w:w="134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Złóż wniosek – dane kontaktowe znajdują się w punkcie 1. i 2.</w:t>
            </w:r>
          </w:p>
        </w:tc>
      </w:tr>
      <w:tr>
        <w:trPr/>
        <w:tc>
          <w:tcPr>
            <w:tcW w:w="148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Wniesienia sprzeciwu</w:t>
            </w:r>
          </w:p>
        </w:tc>
        <w:tc>
          <w:tcPr>
            <w:tcW w:w="3538" w:type="dxa"/>
            <w:tcBorders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Prawo do żądania, by zaprzestano wykorzystywania danych zainteresowanej osoby do realizacji uzasadnionych interesów prawnych Administratora.</w:t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cs="Calibri" w:ascii="Century Gothic" w:hAnsi="Century Gothic" w:cstheme="minorHAnsi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Przysługuje w związku z wykorzystywaniem danych osobowych w celu </w:t>
            </w:r>
            <w:r>
              <w:rPr>
                <w:rFonts w:cs="Calibri" w:ascii="Century Gothic" w:hAnsi="Century Gothic" w:cstheme="minorHAnsi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ustalenia i </w:t>
            </w:r>
            <w:r>
              <w:rPr>
                <w:rFonts w:cs="Calibri" w:ascii="Century Gothic" w:hAnsi="Century Gothic" w:cstheme="minorHAnsi"/>
                <w:b/>
                <w:bCs/>
                <w:i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dochodzenia roszczeń oraz obrony przed roszczeniami.</w:t>
            </w:r>
            <w:r>
              <w:rPr>
                <w:rFonts w:cs="Calibri" w:ascii="Century Gothic" w:hAnsi="Century Gothic" w:cstheme="minorHAnsi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Sprzeciw uwzględnia się z uwagi na szczególną sytuację danej osoby. Staranne uzasadnienie sprzeciwu może zwiększyć szansę na uznanie jego słuszności.</w:t>
            </w:r>
          </w:p>
        </w:tc>
        <w:tc>
          <w:tcPr>
            <w:tcW w:w="134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Złóż wniosek – dane kontaktowe znajdują się w punkcie 1. i 2.</w:t>
            </w:r>
          </w:p>
        </w:tc>
      </w:tr>
      <w:tr>
        <w:trPr/>
        <w:tc>
          <w:tcPr>
            <w:tcW w:w="148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b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Skargi do Prezesa Urzędu Ochrony Danych Osobowych</w:t>
            </w:r>
          </w:p>
        </w:tc>
        <w:tc>
          <w:tcPr>
            <w:tcW w:w="353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407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Składając skargę należy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wskazać na kogo składa się skargę oraz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opisać na czym polega naruszenie</w:t>
            </w: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 xml:space="preserve"> przepisów o ochronie danych osobowych.</w:t>
            </w: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80" w:after="80"/>
              <w:jc w:val="center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Skontaktuj się z </w:t>
            </w:r>
            <w:r>
              <w:rPr>
                <w:rFonts w:ascii="Century Gothic" w:hAnsi="Century Gothic"/>
                <w:b/>
                <w:bCs/>
                <w:color w:val="000000" w:themeColor="text1"/>
                <w:kern w:val="0"/>
                <w:sz w:val="12"/>
                <w:szCs w:val="12"/>
                <w:lang w:val="pl-PL" w:eastAsia="en-US" w:bidi="ar-SA"/>
              </w:rPr>
              <w:t>Urzędem Ochrony Danych Osobowych.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76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Czy muszę podać dane: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udostępnienie danych osobowych jest dobrowolne, ale niezbędne do zrealizowania celu przetwarzania [vide pkt. 6].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/>
          <w:color w:val="000000" w:themeColor="text1"/>
          <w:sz w:val="12"/>
          <w:szCs w:val="12"/>
        </w:rPr>
      </w:pPr>
      <w:r>
        <w:rPr>
          <w:rFonts w:ascii="Century Gothic" w:hAnsi="Century Gothic"/>
          <w:b/>
          <w:bCs/>
          <w:color w:val="000000" w:themeColor="text1"/>
          <w:sz w:val="12"/>
          <w:szCs w:val="12"/>
        </w:rPr>
        <w:t>Konsekwencje odmowy:</w:t>
      </w:r>
      <w:r>
        <w:rPr>
          <w:rFonts w:ascii="Century Gothic" w:hAnsi="Century Gothic"/>
          <w:color w:val="000000" w:themeColor="text1"/>
          <w:sz w:val="12"/>
          <w:szCs w:val="12"/>
        </w:rPr>
        <w:t xml:space="preserve"> nie odebranie deklaracji, niezrealizowanie celu przetwarzania.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Zautomatyzowane podejmowanie decyzji: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nie dotyczy.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ascii="Century Gothic" w:hAnsi="Century Gothic" w:cs="Calibri" w:cstheme="minorHAnsi"/>
          <w:color w:val="000000" w:themeColor="text1"/>
          <w:sz w:val="12"/>
          <w:szCs w:val="12"/>
        </w:rPr>
      </w:pPr>
      <w:r>
        <w:rPr>
          <w:rFonts w:cs="Calibri" w:ascii="Century Gothic" w:hAnsi="Century Gothic" w:cstheme="minorHAnsi"/>
          <w:b/>
          <w:bCs/>
          <w:color w:val="000000" w:themeColor="text1"/>
          <w:sz w:val="12"/>
          <w:szCs w:val="12"/>
        </w:rPr>
        <w:t>Profilowanie:</w:t>
      </w:r>
      <w:r>
        <w:rPr>
          <w:rFonts w:cs="Calibri" w:ascii="Century Gothic" w:hAnsi="Century Gothic" w:cstheme="minorHAnsi"/>
          <w:color w:val="000000" w:themeColor="text1"/>
          <w:sz w:val="12"/>
          <w:szCs w:val="12"/>
        </w:rPr>
        <w:t xml:space="preserve"> nie dotyczy.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entury Gothic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1ba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iPriority w:val="99"/>
    <w:unhideWhenUsed/>
    <w:rsid w:val="00aa1ba5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a1ba5"/>
    <w:rPr>
      <w:rFonts w:ascii="Segoe UI" w:hAnsi="Segoe UI" w:eastAsia="Calibr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6b9e"/>
    <w:rPr>
      <w:color w:val="605E5C"/>
      <w:shd w:fill="E1DFDD" w:val="clear"/>
    </w:rPr>
  </w:style>
  <w:style w:type="character" w:styleId="Annotationreference">
    <w:name w:val="annotation reference"/>
    <w:uiPriority w:val="99"/>
    <w:unhideWhenUsed/>
    <w:qFormat/>
    <w:rsid w:val="0016514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165145"/>
    <w:rPr>
      <w:rFonts w:ascii="Calibri" w:hAnsi="Calibri" w:eastAsia="Times New Roman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65145"/>
    <w:rPr>
      <w:rFonts w:ascii="Calibri" w:hAnsi="Calibri" w:eastAsia="Calibri" w:cs="Times New Roman"/>
      <w:b/>
      <w:bCs/>
      <w:sz w:val="20"/>
      <w:szCs w:val="20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32c98"/>
    <w:rPr>
      <w:rFonts w:ascii="Calibri" w:hAnsi="Calibri" w:eastAsia="Calibri" w:cs="Times New Roman"/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732c98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TabelaTekstZnak" w:customStyle="1">
    <w:name w:val="(Z) Tabela | Tekst Znak"/>
    <w:basedOn w:val="DefaultParagraphFont"/>
    <w:link w:val="ZTabelaTekst"/>
    <w:qFormat/>
    <w:rsid w:val="00d15400"/>
    <w:rPr>
      <w:rFonts w:ascii="Century Gothic" w:hAnsi="Century Gothic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1ba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a1b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165145"/>
    <w:pPr>
      <w:spacing w:lineRule="auto" w:line="240" w:before="0" w:after="200"/>
    </w:pPr>
    <w:rPr>
      <w:rFonts w:eastAsia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65145"/>
    <w:pPr>
      <w:spacing w:before="0" w:after="160"/>
    </w:pPr>
    <w:rPr>
      <w:rFonts w:eastAsia="Calibri"/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32c98"/>
    <w:pPr>
      <w:spacing w:lineRule="auto" w:line="240" w:before="0" w:after="0"/>
    </w:pPr>
    <w:rPr>
      <w:sz w:val="20"/>
      <w:szCs w:val="20"/>
    </w:rPr>
  </w:style>
  <w:style w:type="paragraph" w:styleId="ZTabelaTekst" w:customStyle="1">
    <w:name w:val="(Z) Tabela | Tekst"/>
    <w:basedOn w:val="Normal"/>
    <w:link w:val="ZTabelaTekstZnak"/>
    <w:qFormat/>
    <w:rsid w:val="00d15400"/>
    <w:pPr>
      <w:spacing w:lineRule="auto" w:line="240" w:before="80" w:after="80"/>
      <w:jc w:val="center"/>
    </w:pPr>
    <w:rPr>
      <w:rFonts w:ascii="Century Gothic" w:hAnsi="Century Gothic" w:eastAsia="Calibri" w:cs="" w:cstheme="minorBidi" w:eastAsiaTheme="minorHAns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2191-4693-4037-8BC8-5EEF635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LibreOffice/7.4.3.2$Windows_X86_64 LibreOffice_project/1048a8393ae2eeec98dff31b5c133c5f1d08b890</Application>
  <AppVersion>15.0000</AppVersion>
  <Pages>1</Pages>
  <Words>836</Words>
  <Characters>5379</Characters>
  <CharactersWithSpaces>6156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2020-11-02T09:31:00Z</dcterms:created>
  <dc:creator>Mateusz Maciejkowicz</dc:creator>
  <dc:description/>
  <dc:language>pl-PL</dc:language>
  <cp:lastModifiedBy/>
  <cp:lastPrinted>2023-10-31T13:13:10Z</cp:lastPrinted>
  <dcterms:modified xsi:type="dcterms:W3CDTF">2023-10-31T13:13:02Z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