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C3E" w:rsidRDefault="00FF5C3E">
      <w:pPr>
        <w:jc w:val="center"/>
        <w:rPr>
          <w:b/>
        </w:rPr>
      </w:pPr>
    </w:p>
    <w:p w:rsidR="00FF5C3E" w:rsidRDefault="00FF5C3E">
      <w:pPr>
        <w:jc w:val="center"/>
        <w:rPr>
          <w:b/>
        </w:rPr>
      </w:pPr>
    </w:p>
    <w:p w:rsidR="00C172F4" w:rsidRDefault="00073F53">
      <w:pPr>
        <w:jc w:val="center"/>
      </w:pPr>
      <w:r>
        <w:rPr>
          <w:b/>
        </w:rPr>
        <w:t xml:space="preserve">ZARZĄDZENIE NR </w:t>
      </w:r>
      <w:r w:rsidR="0013004F">
        <w:rPr>
          <w:b/>
        </w:rPr>
        <w:t>2</w:t>
      </w:r>
      <w:r w:rsidR="001D1691">
        <w:rPr>
          <w:b/>
        </w:rPr>
        <w:t>40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314E4D">
      <w:pPr>
        <w:jc w:val="center"/>
        <w:rPr>
          <w:color w:val="000000"/>
        </w:rPr>
      </w:pPr>
      <w:r>
        <w:rPr>
          <w:b/>
          <w:color w:val="000000"/>
        </w:rPr>
        <w:t>z dnia 2</w:t>
      </w:r>
      <w:r w:rsidR="001D1691">
        <w:rPr>
          <w:b/>
          <w:color w:val="000000"/>
        </w:rPr>
        <w:t>6.07</w:t>
      </w:r>
      <w:r w:rsidR="00D26419">
        <w:rPr>
          <w:b/>
          <w:color w:val="000000"/>
        </w:rPr>
        <w:t>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 w:rsidR="00314E4D">
        <w:t>X</w:t>
      </w:r>
      <w:r w:rsidR="0013004F">
        <w:t>V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1D1691" w:rsidRPr="00854180" w:rsidRDefault="00073F53" w:rsidP="001D1691">
      <w:pPr>
        <w:jc w:val="both"/>
        <w:rPr>
          <w:bCs/>
        </w:rPr>
      </w:pPr>
      <w:r>
        <w:t xml:space="preserve">1) </w:t>
      </w:r>
      <w:r w:rsidR="001D1691" w:rsidRPr="00854180">
        <w:rPr>
          <w:bCs/>
        </w:rPr>
        <w:t xml:space="preserve">w sprawie wprowadzenia zmian w wieloletniej prognozie finansowej Gminy Kamieniec Ząbkowicki </w:t>
      </w:r>
    </w:p>
    <w:p w:rsidR="001D1691" w:rsidRPr="00854180" w:rsidRDefault="001D1691" w:rsidP="001D1691">
      <w:pPr>
        <w:jc w:val="both"/>
        <w:rPr>
          <w:bCs/>
        </w:rPr>
      </w:pPr>
    </w:p>
    <w:p w:rsidR="001D1691" w:rsidRDefault="001D1691" w:rsidP="001D1691">
      <w:pPr>
        <w:jc w:val="both"/>
        <w:rPr>
          <w:bCs/>
        </w:rPr>
      </w:pPr>
      <w:r>
        <w:rPr>
          <w:bCs/>
        </w:rPr>
        <w:t xml:space="preserve">2) </w:t>
      </w:r>
      <w:r w:rsidRPr="00854180">
        <w:rPr>
          <w:bCs/>
        </w:rPr>
        <w:t>w sprawie wprowadzenia zmian w budżecie gminy na rok 2021</w:t>
      </w:r>
    </w:p>
    <w:p w:rsidR="001D1691" w:rsidRDefault="001D1691" w:rsidP="001D1691">
      <w:pPr>
        <w:jc w:val="both"/>
        <w:rPr>
          <w:bCs/>
        </w:rPr>
      </w:pPr>
    </w:p>
    <w:p w:rsidR="001D1691" w:rsidRDefault="001D1691" w:rsidP="001D1691">
      <w:pPr>
        <w:jc w:val="both"/>
        <w:rPr>
          <w:bCs/>
        </w:rPr>
      </w:pPr>
      <w:r>
        <w:rPr>
          <w:bCs/>
        </w:rPr>
        <w:t xml:space="preserve">3) w sprawie udzielenia dotacji na prace konserwatorskie i restauratorskie przy zabytku wpisanym do rejestru zabytków </w:t>
      </w:r>
    </w:p>
    <w:p w:rsidR="001D1691" w:rsidRDefault="001D1691" w:rsidP="001D1691">
      <w:pPr>
        <w:jc w:val="both"/>
        <w:rPr>
          <w:bCs/>
        </w:rPr>
      </w:pPr>
    </w:p>
    <w:p w:rsidR="001D1691" w:rsidRPr="00854180" w:rsidRDefault="001D1691" w:rsidP="001D1691">
      <w:pPr>
        <w:jc w:val="both"/>
        <w:rPr>
          <w:bCs/>
        </w:rPr>
      </w:pPr>
      <w:r>
        <w:rPr>
          <w:bCs/>
        </w:rPr>
        <w:t>4) w sprawie określenia średniej ceny jednostkowej paliwa w Gminie Kamieniec Ząbkowicki w roku szkolnym 2021/2022</w:t>
      </w:r>
    </w:p>
    <w:p w:rsidR="00F474B1" w:rsidRDefault="00F474B1" w:rsidP="001D1691"/>
    <w:p w:rsidR="00C172F4" w:rsidRDefault="00C172F4" w:rsidP="00F474B1">
      <w:pPr>
        <w:jc w:val="both"/>
      </w:pPr>
    </w:p>
    <w:p w:rsidR="00C172F4" w:rsidRDefault="00073F53">
      <w:pPr>
        <w:pStyle w:val="Akapitzlist"/>
        <w:ind w:left="0"/>
        <w:jc w:val="both"/>
      </w:pPr>
      <w:r>
        <w:t>2. Projekty uc</w:t>
      </w:r>
      <w:r w:rsidR="0013004F">
        <w:t>h</w:t>
      </w:r>
      <w:r w:rsidR="001D1691">
        <w:t>wał stanowią załączniki nr 1 –4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C172F4" w:rsidRDefault="00073F53">
      <w:pPr>
        <w:rPr>
          <w:b/>
        </w:rPr>
      </w:pPr>
      <w:r>
        <w:t xml:space="preserve">Zarządzenie wchodzi w życie z dniem podjęcia. </w:t>
      </w:r>
    </w:p>
    <w:p w:rsidR="00C172F4" w:rsidRDefault="00073F53">
      <w:r>
        <w:t xml:space="preserve">                                                                   </w:t>
      </w:r>
    </w:p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75437F" w:rsidRDefault="0075437F"/>
    <w:p w:rsidR="0075437F" w:rsidRDefault="0075437F"/>
    <w:p w:rsidR="007C7E8C" w:rsidRDefault="007C7E8C"/>
    <w:p w:rsidR="001D1691" w:rsidRDefault="001D1691"/>
    <w:p w:rsidR="001D1691" w:rsidRDefault="001D1691"/>
    <w:p w:rsidR="001D1691" w:rsidRDefault="001D1691"/>
    <w:p w:rsidR="001D1691" w:rsidRDefault="001D1691"/>
    <w:p w:rsidR="001D1691" w:rsidRDefault="001D1691"/>
    <w:p w:rsidR="001D1691" w:rsidRDefault="001D1691"/>
    <w:p w:rsidR="001D1691" w:rsidRDefault="001D1691"/>
    <w:p w:rsidR="001D1691" w:rsidRDefault="001D1691"/>
    <w:p w:rsidR="00DD372B" w:rsidRDefault="00DD372B"/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1D1691">
        <w:rPr>
          <w:sz w:val="18"/>
          <w:szCs w:val="18"/>
        </w:rPr>
        <w:t>240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1D1691">
        <w:rPr>
          <w:sz w:val="18"/>
          <w:szCs w:val="18"/>
        </w:rPr>
        <w:t>26 lipca</w:t>
      </w:r>
      <w:r w:rsidR="00D26419">
        <w:rPr>
          <w:sz w:val="18"/>
          <w:szCs w:val="18"/>
        </w:rPr>
        <w:t xml:space="preserve"> 2021 r. </w:t>
      </w:r>
    </w:p>
    <w:p w:rsidR="00C172F4" w:rsidRDefault="00C172F4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1D1691" w:rsidRPr="00E5179B" w:rsidRDefault="001D1691" w:rsidP="001D1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E5179B">
        <w:rPr>
          <w:b/>
          <w:bCs/>
        </w:rPr>
        <w:t xml:space="preserve">U C H W A Ł A  nr  </w:t>
      </w:r>
      <w:r>
        <w:rPr>
          <w:b/>
          <w:bCs/>
        </w:rPr>
        <w:t>……..</w:t>
      </w:r>
      <w:r w:rsidRPr="00E5179B">
        <w:rPr>
          <w:b/>
          <w:bCs/>
        </w:rPr>
        <w:t>/2021</w:t>
      </w:r>
    </w:p>
    <w:p w:rsidR="001D1691" w:rsidRPr="00E5179B" w:rsidRDefault="001D1691" w:rsidP="001D1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E5179B">
        <w:rPr>
          <w:b/>
          <w:bCs/>
        </w:rPr>
        <w:t>Rady Miejskiej w Kamieńcu Ząbkowickim</w:t>
      </w:r>
    </w:p>
    <w:p w:rsidR="001D1691" w:rsidRPr="00E5179B" w:rsidRDefault="001D1691" w:rsidP="001D1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E5179B">
        <w:rPr>
          <w:b/>
          <w:bCs/>
        </w:rPr>
        <w:t xml:space="preserve">z dnia </w:t>
      </w:r>
      <w:r>
        <w:rPr>
          <w:b/>
          <w:bCs/>
        </w:rPr>
        <w:t>……………..</w:t>
      </w:r>
    </w:p>
    <w:p w:rsidR="001D1691" w:rsidRDefault="001D1691" w:rsidP="001D1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E5179B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1D1691" w:rsidRDefault="001D1691" w:rsidP="001D1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713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305), Rada Miejska w Kamieńcu Ząbkowickim uchwala co następuje:</w:t>
      </w: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E5179B">
        <w:rPr>
          <w:b/>
          <w:bCs/>
        </w:rPr>
        <w:t>§ 1</w:t>
      </w: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XXVI/210/2020 Rady Gminy Kamieniec Ząbkowicki z dnia 21 grudnia 2020 r. w sprawie przyjęcia wieloletniej prognozy finansowej Gminy Kamieniec Ząbkowicki wprowadza się następujące zmiany:</w:t>
      </w:r>
    </w:p>
    <w:p w:rsidR="001D1691" w:rsidRDefault="001D1691" w:rsidP="001D1691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1D1691" w:rsidRDefault="001D1691" w:rsidP="001D1691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1D1691" w:rsidRDefault="001D1691" w:rsidP="001D1691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E5179B">
        <w:rPr>
          <w:b/>
          <w:bCs/>
        </w:rPr>
        <w:t>§ 2</w:t>
      </w:r>
    </w:p>
    <w:p w:rsidR="001D1691" w:rsidRDefault="001D1691" w:rsidP="001D1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E5179B">
        <w:rPr>
          <w:b/>
          <w:bCs/>
        </w:rPr>
        <w:t>§ 3</w:t>
      </w: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D1691" w:rsidRPr="00E5179B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E5179B">
        <w:rPr>
          <w:b/>
          <w:bCs/>
        </w:rPr>
        <w:t>Uzasadnienie</w:t>
      </w:r>
    </w:p>
    <w:p w:rsidR="001D1691" w:rsidRDefault="001D1691" w:rsidP="001D169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D1691" w:rsidRDefault="001D1691" w:rsidP="001D169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 xml:space="preserve">Zmiany wprowadzone niniejszą uchwałą aktualizują pierwotne założenia prognozy wynikające z podjętej w dniu 21 grudnia 2020 r. uchwały Rady Gminy Kamieniec Ząbkowicki nr XXVI/210/2020. </w:t>
      </w:r>
      <w:r w:rsidRPr="004960E8">
        <w:t>Dane dla roku 2021 w zakresie dochodów, wydatków, wyniku budżetu, przychodów ulegają zmianie i są tożsame z ustaleniami planistycznymi</w:t>
      </w:r>
      <w:r>
        <w:t xml:space="preserve"> budżetu Gminy. </w:t>
      </w:r>
      <w:r w:rsidRPr="004960E8">
        <w:t>W przypadku roku 2022 dane ulegają zmianie wobec pierwotnych założeń w zakresie wydat</w:t>
      </w:r>
      <w:r>
        <w:t>ków, wyniku budżetu, przychodów. Konsekwencją wprowadzonych zmian są również zmiany wskaźników zadłużenia.</w:t>
      </w:r>
    </w:p>
    <w:p w:rsidR="001D1691" w:rsidRDefault="001D1691" w:rsidP="001D169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uchwały:</w:t>
      </w:r>
    </w:p>
    <w:p w:rsidR="001D1691" w:rsidRPr="009536AA" w:rsidRDefault="001D1691" w:rsidP="001D169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dokonano aktualizacji limitów zobowiązań i kwoty wydatków w poszczególnych latach na przedsięwzięciach „</w:t>
      </w:r>
      <w:r w:rsidRPr="006C3291">
        <w:t>Budowa gminnej sieci kanalizacji sanitarnej Kamieniec Ząbkowicki</w:t>
      </w:r>
      <w:r>
        <w:t>”, „Nowa jakość zwiedzania w romantycznym zespole pałacowo-parkowym w Kamieńcu Ząbkowickim”, „Utworzenie Centrum Edukacji Przyrodniczo-Ekologicznej Parku Kulturowego Gminy Kamieniec Ząbkowicki”,</w:t>
      </w:r>
    </w:p>
    <w:p w:rsidR="001D1691" w:rsidRDefault="001D1691" w:rsidP="001D1691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7D28A3">
        <w:t>- wprowadzono nowe przedsięwzięcia związane z zapewnieniem szybkiego dostępu do</w:t>
      </w:r>
      <w:r>
        <w:t xml:space="preserve"> </w:t>
      </w:r>
      <w:proofErr w:type="spellStart"/>
      <w:r>
        <w:t>internetu</w:t>
      </w:r>
      <w:proofErr w:type="spellEnd"/>
      <w:r>
        <w:t xml:space="preserve"> dla Urzędu Miejskiego oraz budową</w:t>
      </w:r>
      <w:r w:rsidRPr="007D28A3">
        <w:t xml:space="preserve"> gminnej instalacji fotowoltaicznej o mocy do 5 MW</w:t>
      </w:r>
      <w:r>
        <w:t>.</w:t>
      </w: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3004F" w:rsidRDefault="0013004F" w:rsidP="0013004F">
      <w:pPr>
        <w:spacing w:before="240" w:after="240"/>
        <w:jc w:val="both"/>
      </w:pPr>
    </w:p>
    <w:p w:rsidR="0013004F" w:rsidRDefault="0013004F" w:rsidP="0013004F">
      <w:pPr>
        <w:spacing w:before="240" w:after="240"/>
        <w:jc w:val="both"/>
      </w:pPr>
    </w:p>
    <w:p w:rsidR="0013004F" w:rsidRDefault="0013004F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2 do Zarządzenia Nr  240/2021</w:t>
      </w:r>
    </w:p>
    <w:p w:rsidR="001D1691" w:rsidRDefault="001D1691" w:rsidP="001D169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1D1691" w:rsidRDefault="001D1691" w:rsidP="001D1691">
      <w:r>
        <w:rPr>
          <w:sz w:val="18"/>
          <w:szCs w:val="18"/>
        </w:rPr>
        <w:t xml:space="preserve">                                                                                                                            z dnia 26 lipca 2021 r. </w:t>
      </w:r>
    </w:p>
    <w:p w:rsidR="001D1691" w:rsidRDefault="001D1691" w:rsidP="001D1691">
      <w:pPr>
        <w:spacing w:after="240"/>
      </w:pPr>
    </w:p>
    <w:p w:rsidR="001D1691" w:rsidRPr="001B03F8" w:rsidRDefault="001D1691" w:rsidP="001D16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</w:t>
      </w:r>
      <w:r w:rsidRPr="001B03F8">
        <w:rPr>
          <w:b/>
          <w:bCs/>
        </w:rPr>
        <w:t>/2021</w:t>
      </w:r>
    </w:p>
    <w:p w:rsidR="001D1691" w:rsidRPr="00602CB9" w:rsidRDefault="001D1691" w:rsidP="001D1691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1D1691" w:rsidRPr="00122D0A" w:rsidRDefault="001D1691" w:rsidP="001D169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……….</w:t>
      </w:r>
    </w:p>
    <w:p w:rsidR="001D1691" w:rsidRPr="002C1EEC" w:rsidRDefault="001D1691" w:rsidP="001D1691">
      <w:pPr>
        <w:ind w:left="-180"/>
        <w:rPr>
          <w:b/>
        </w:rPr>
      </w:pPr>
    </w:p>
    <w:p w:rsidR="001D1691" w:rsidRPr="002C1EEC" w:rsidRDefault="001D1691" w:rsidP="001D1691">
      <w:pPr>
        <w:ind w:left="-180"/>
        <w:rPr>
          <w:b/>
        </w:rPr>
      </w:pPr>
    </w:p>
    <w:p w:rsidR="001D1691" w:rsidRPr="002C1EEC" w:rsidRDefault="001D1691" w:rsidP="001D1691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1D1691" w:rsidRPr="00857E79" w:rsidRDefault="001D1691" w:rsidP="001D1691">
      <w:pPr>
        <w:ind w:left="-180"/>
      </w:pPr>
    </w:p>
    <w:p w:rsidR="001D1691" w:rsidRPr="00857E79" w:rsidRDefault="001D1691" w:rsidP="001D1691">
      <w:pPr>
        <w:ind w:left="-180"/>
      </w:pPr>
    </w:p>
    <w:p w:rsidR="001D1691" w:rsidRPr="00D147FB" w:rsidRDefault="001D1691" w:rsidP="001D1691">
      <w:pPr>
        <w:ind w:left="-180" w:firstLine="709"/>
        <w:jc w:val="both"/>
      </w:pPr>
      <w:r w:rsidRPr="00D147FB">
        <w:t xml:space="preserve">Na podstawie art.18 ust.2 </w:t>
      </w:r>
      <w:proofErr w:type="spellStart"/>
      <w:r w:rsidRPr="00D147FB">
        <w:t>pkt</w:t>
      </w:r>
      <w:proofErr w:type="spellEnd"/>
      <w:r w:rsidRPr="00D147FB">
        <w:t xml:space="preserve"> 4 ustawy z dnia 8 marca 1990 r. o samorządzie gminnym (</w:t>
      </w:r>
      <w:proofErr w:type="spellStart"/>
      <w:r w:rsidRPr="00D147FB">
        <w:t>t.j</w:t>
      </w:r>
      <w:proofErr w:type="spellEnd"/>
      <w:r w:rsidRPr="00D147FB">
        <w:t xml:space="preserve">. </w:t>
      </w:r>
      <w:proofErr w:type="spellStart"/>
      <w:r w:rsidRPr="00D147FB">
        <w:t>Dz.U</w:t>
      </w:r>
      <w:proofErr w:type="spellEnd"/>
      <w:r w:rsidRPr="00D147FB">
        <w:t>. z 2020 r. poz. 713 ze zm.) oraz art.212 ust.1 ustawy z dnia 27 sierpnia 2009 r. o finansach publicznych (</w:t>
      </w:r>
      <w:proofErr w:type="spellStart"/>
      <w:r w:rsidRPr="00D147FB">
        <w:t>t.j</w:t>
      </w:r>
      <w:proofErr w:type="spellEnd"/>
      <w:r w:rsidRPr="00D147FB">
        <w:t xml:space="preserve">. </w:t>
      </w:r>
      <w:proofErr w:type="spellStart"/>
      <w:r w:rsidRPr="00D147FB">
        <w:t>Dz.U</w:t>
      </w:r>
      <w:proofErr w:type="spellEnd"/>
      <w:r w:rsidRPr="00D147FB">
        <w:t>. z 2021 r. poz. 305) Rada Miejska w Kamieńcu Ząbkowickim uchw</w:t>
      </w:r>
      <w:r w:rsidRPr="00D147FB">
        <w:t>a</w:t>
      </w:r>
      <w:r w:rsidRPr="00D147FB">
        <w:t>la co następuje:</w:t>
      </w:r>
    </w:p>
    <w:p w:rsidR="001D1691" w:rsidRPr="00D147FB" w:rsidRDefault="001D1691" w:rsidP="001D1691">
      <w:pPr>
        <w:spacing w:before="240" w:after="240"/>
        <w:ind w:left="-180"/>
        <w:jc w:val="center"/>
        <w:rPr>
          <w:b/>
        </w:rPr>
      </w:pPr>
      <w:r w:rsidRPr="00D147FB">
        <w:rPr>
          <w:b/>
        </w:rPr>
        <w:t>§ 1</w:t>
      </w:r>
    </w:p>
    <w:p w:rsidR="001D1691" w:rsidRPr="00D147FB" w:rsidRDefault="001D1691" w:rsidP="001D1691">
      <w:pPr>
        <w:tabs>
          <w:tab w:val="decimal" w:pos="8280"/>
        </w:tabs>
        <w:ind w:left="-180"/>
        <w:jc w:val="both"/>
      </w:pPr>
      <w:r w:rsidRPr="00D147FB">
        <w:t>Zmienia się plan dochodów budżetu gminy zgodnie z załącznikiem nr 1 do uchwały.</w:t>
      </w:r>
    </w:p>
    <w:p w:rsidR="001D1691" w:rsidRPr="00D147FB" w:rsidRDefault="001D1691" w:rsidP="001D1691">
      <w:pPr>
        <w:spacing w:before="240" w:after="240"/>
        <w:ind w:left="-180"/>
        <w:jc w:val="center"/>
        <w:rPr>
          <w:b/>
        </w:rPr>
      </w:pPr>
      <w:r w:rsidRPr="00D147FB">
        <w:rPr>
          <w:b/>
        </w:rPr>
        <w:t>§ 2</w:t>
      </w:r>
    </w:p>
    <w:p w:rsidR="001D1691" w:rsidRPr="00D147FB" w:rsidRDefault="001D1691" w:rsidP="001D1691">
      <w:pPr>
        <w:tabs>
          <w:tab w:val="decimal" w:pos="8280"/>
        </w:tabs>
        <w:ind w:left="-180"/>
        <w:jc w:val="both"/>
      </w:pPr>
      <w:r w:rsidRPr="00D147FB">
        <w:t>Zmienia się plan wydatków budżetu gminy zgodnie z załącznikiem nr 2 do uchwały.</w:t>
      </w:r>
    </w:p>
    <w:p w:rsidR="001D1691" w:rsidRPr="00D147FB" w:rsidRDefault="001D1691" w:rsidP="001D1691">
      <w:pPr>
        <w:spacing w:before="240" w:after="240"/>
        <w:ind w:left="-180"/>
        <w:jc w:val="center"/>
        <w:rPr>
          <w:b/>
        </w:rPr>
      </w:pPr>
      <w:r w:rsidRPr="00D147FB">
        <w:rPr>
          <w:b/>
        </w:rPr>
        <w:t>§ 3</w:t>
      </w:r>
    </w:p>
    <w:p w:rsidR="001D1691" w:rsidRPr="00D147FB" w:rsidRDefault="001D1691" w:rsidP="001D1691">
      <w:pPr>
        <w:tabs>
          <w:tab w:val="right" w:pos="9350"/>
        </w:tabs>
        <w:ind w:left="-180" w:right="10"/>
        <w:jc w:val="both"/>
      </w:pPr>
      <w:r w:rsidRPr="00D147FB">
        <w:rPr>
          <w:bCs/>
        </w:rPr>
        <w:t xml:space="preserve">1. Ustala się łączną kwotę planowanych dochodów budżetu gminy w wysokości 44 603 233,86 zł, </w:t>
      </w:r>
      <w:r w:rsidRPr="00D147FB">
        <w:t>z tego:</w:t>
      </w:r>
    </w:p>
    <w:p w:rsidR="001D1691" w:rsidRPr="00D147FB" w:rsidRDefault="001D1691" w:rsidP="001D1691">
      <w:pPr>
        <w:tabs>
          <w:tab w:val="right" w:pos="8602"/>
        </w:tabs>
        <w:spacing w:before="120"/>
        <w:ind w:left="-180" w:right="10" w:firstLine="187"/>
      </w:pPr>
      <w:r w:rsidRPr="00D147FB">
        <w:t xml:space="preserve">1) dochody bieżące </w:t>
      </w:r>
      <w:r w:rsidRPr="00D147FB">
        <w:tab/>
        <w:t>34 857 254,07 zł</w:t>
      </w:r>
    </w:p>
    <w:p w:rsidR="001D1691" w:rsidRPr="00D147FB" w:rsidRDefault="001D1691" w:rsidP="001D1691">
      <w:pPr>
        <w:tabs>
          <w:tab w:val="right" w:pos="8602"/>
        </w:tabs>
        <w:ind w:left="-180" w:right="10" w:firstLine="187"/>
      </w:pPr>
      <w:r w:rsidRPr="00D147FB">
        <w:t>2) dochody majątkowe</w:t>
      </w:r>
      <w:r w:rsidRPr="00D147FB">
        <w:tab/>
        <w:t>9 745 979,79 zł.</w:t>
      </w:r>
    </w:p>
    <w:p w:rsidR="001D1691" w:rsidRPr="00D147FB" w:rsidRDefault="001D1691" w:rsidP="001D1691">
      <w:pPr>
        <w:tabs>
          <w:tab w:val="right" w:pos="9350"/>
        </w:tabs>
        <w:spacing w:before="120"/>
        <w:ind w:left="-180" w:right="11"/>
        <w:jc w:val="both"/>
      </w:pPr>
      <w:r w:rsidRPr="00D147FB">
        <w:rPr>
          <w:bCs/>
        </w:rPr>
        <w:t xml:space="preserve">2. Ustala się łączną kwotę planowanych wydatków budżetu gminy w wysokości 53 238 675,71 zł, </w:t>
      </w:r>
      <w:r w:rsidRPr="00D147FB">
        <w:t>z tego:</w:t>
      </w:r>
    </w:p>
    <w:p w:rsidR="001D1691" w:rsidRPr="00D147FB" w:rsidRDefault="001D1691" w:rsidP="001D1691">
      <w:pPr>
        <w:tabs>
          <w:tab w:val="right" w:pos="8602"/>
        </w:tabs>
        <w:spacing w:before="120"/>
        <w:ind w:left="-180" w:right="10" w:firstLine="187"/>
      </w:pPr>
      <w:r w:rsidRPr="00D147FB">
        <w:t xml:space="preserve">1) wydatki bieżące </w:t>
      </w:r>
      <w:r w:rsidRPr="00D147FB">
        <w:tab/>
        <w:t>33 819 226,71 zł</w:t>
      </w:r>
    </w:p>
    <w:p w:rsidR="001D1691" w:rsidRPr="00D147FB" w:rsidRDefault="001D1691" w:rsidP="001D1691">
      <w:pPr>
        <w:tabs>
          <w:tab w:val="right" w:pos="8602"/>
        </w:tabs>
        <w:ind w:left="-180" w:right="10" w:firstLine="187"/>
      </w:pPr>
      <w:r w:rsidRPr="00D147FB">
        <w:t>2) wydatki majątkowe</w:t>
      </w:r>
      <w:r w:rsidRPr="00D147FB">
        <w:tab/>
        <w:t>19 419 449,00 zł.</w:t>
      </w:r>
    </w:p>
    <w:p w:rsidR="001D1691" w:rsidRPr="006D3FDB" w:rsidRDefault="001D1691" w:rsidP="001D1691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6D3FDB">
        <w:rPr>
          <w:bCs/>
        </w:rPr>
        <w:t>3. Ustala się deficyt budżetu gminy w wysokości 8 635 441,85 zł.</w:t>
      </w:r>
    </w:p>
    <w:p w:rsidR="001D1691" w:rsidRPr="00A65406" w:rsidRDefault="001D1691" w:rsidP="001D1691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A65406">
        <w:rPr>
          <w:bCs/>
        </w:rPr>
        <w:t>4. Deficyt budżetu w kwocie 8 635 441,85 zł sfinansowany zostanie z wolnych środków i niewyk</w:t>
      </w:r>
      <w:r w:rsidRPr="00A65406">
        <w:rPr>
          <w:bCs/>
        </w:rPr>
        <w:t>o</w:t>
      </w:r>
      <w:r w:rsidRPr="00A65406">
        <w:rPr>
          <w:bCs/>
        </w:rPr>
        <w:t>rzystanych środków pieniężnych na rachunku bieżącym budżetu, wynikających z rozliczenia dochodów i wydatków nimi finansowanych związanych ze szczególnymi zasadami wykonywania budż</w:t>
      </w:r>
      <w:r w:rsidRPr="00A65406">
        <w:rPr>
          <w:bCs/>
        </w:rPr>
        <w:t>e</w:t>
      </w:r>
      <w:r w:rsidRPr="00A65406">
        <w:rPr>
          <w:bCs/>
        </w:rPr>
        <w:t>tu określonymi w odrębnych ustawach.</w:t>
      </w:r>
    </w:p>
    <w:p w:rsidR="001D1691" w:rsidRPr="008B0915" w:rsidRDefault="001D1691" w:rsidP="001D1691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8B0915">
        <w:rPr>
          <w:bCs/>
        </w:rPr>
        <w:t xml:space="preserve">5. Ustala się łączne przychody budżetu gminy w wysokości </w:t>
      </w:r>
      <w:r w:rsidRPr="00065AD1">
        <w:rPr>
          <w:bCs/>
        </w:rPr>
        <w:t>9 329 541,85</w:t>
      </w:r>
      <w:r>
        <w:rPr>
          <w:bCs/>
        </w:rPr>
        <w:t xml:space="preserve"> </w:t>
      </w:r>
      <w:r w:rsidRPr="008B0915">
        <w:rPr>
          <w:bCs/>
        </w:rPr>
        <w:t>zł i łączne rozchody budżetu gm</w:t>
      </w:r>
      <w:r w:rsidRPr="008B0915">
        <w:rPr>
          <w:bCs/>
        </w:rPr>
        <w:t>i</w:t>
      </w:r>
      <w:r w:rsidRPr="008B0915">
        <w:rPr>
          <w:bCs/>
        </w:rPr>
        <w:t>ny w wysokości 694 100 zł, zgodnie z załącznikiem nr 3 do uchwały.</w:t>
      </w:r>
    </w:p>
    <w:p w:rsidR="001D1691" w:rsidRPr="00A8622B" w:rsidRDefault="001D1691" w:rsidP="001D1691">
      <w:pPr>
        <w:spacing w:before="240" w:after="240"/>
        <w:ind w:left="-180"/>
        <w:jc w:val="center"/>
        <w:rPr>
          <w:b/>
        </w:rPr>
      </w:pPr>
      <w:r w:rsidRPr="00A8622B">
        <w:rPr>
          <w:b/>
        </w:rPr>
        <w:t>§ 4</w:t>
      </w:r>
    </w:p>
    <w:p w:rsidR="001D1691" w:rsidRPr="00A8622B" w:rsidRDefault="001D1691" w:rsidP="001D1691">
      <w:pPr>
        <w:ind w:left="-180"/>
        <w:jc w:val="both"/>
        <w:rPr>
          <w:bCs/>
        </w:rPr>
      </w:pPr>
      <w:r w:rsidRPr="00A8622B">
        <w:t>Załącznik nr 4 do uchwały nr XXXIV/265/2021Rady Miejskiej w Kamieńcu Ząbkowickim z dnia 24 czerwca 2021 r. w sprawie wprowadzenia zmian w budżecie gminy na rok 2021, określający wydatki majątkowe w podziale na poszczególne zadania inwestycyjne planowane do real</w:t>
      </w:r>
      <w:r w:rsidRPr="00A8622B">
        <w:t>i</w:t>
      </w:r>
      <w:r w:rsidRPr="00A8622B">
        <w:t xml:space="preserve">zacji przez Gminę Kamieniec Ząbkowicki w roku 2021, zastępuje </w:t>
      </w:r>
      <w:r w:rsidRPr="00A8622B">
        <w:rPr>
          <w:bCs/>
        </w:rPr>
        <w:t>się załącznikiem nr 4 do n</w:t>
      </w:r>
      <w:r w:rsidRPr="00A8622B">
        <w:rPr>
          <w:bCs/>
        </w:rPr>
        <w:t>i</w:t>
      </w:r>
      <w:r w:rsidRPr="00A8622B">
        <w:rPr>
          <w:bCs/>
        </w:rPr>
        <w:t>niejszej uchwały.</w:t>
      </w:r>
    </w:p>
    <w:p w:rsidR="001D1691" w:rsidRPr="00A8622B" w:rsidRDefault="001D1691" w:rsidP="001D1691">
      <w:pPr>
        <w:spacing w:before="240" w:after="240"/>
        <w:ind w:left="-180"/>
        <w:jc w:val="center"/>
        <w:rPr>
          <w:b/>
        </w:rPr>
      </w:pPr>
      <w:r w:rsidRPr="00A8622B">
        <w:rPr>
          <w:b/>
        </w:rPr>
        <w:t>§ 5</w:t>
      </w:r>
    </w:p>
    <w:p w:rsidR="001D1691" w:rsidRPr="00A127BE" w:rsidRDefault="001D1691" w:rsidP="001D1691">
      <w:pPr>
        <w:ind w:left="-180"/>
        <w:jc w:val="both"/>
      </w:pPr>
      <w:r w:rsidRPr="00D51092">
        <w:t>Wykonanie uchwały powierza się Burmistrzowi Kamieńca Ząbkowickiego.</w:t>
      </w:r>
    </w:p>
    <w:p w:rsidR="001D1691" w:rsidRPr="009B7BAB" w:rsidRDefault="001D1691" w:rsidP="001D1691">
      <w:pPr>
        <w:spacing w:before="240" w:after="240"/>
        <w:ind w:left="-180"/>
        <w:jc w:val="center"/>
        <w:rPr>
          <w:b/>
        </w:rPr>
      </w:pPr>
      <w:r w:rsidRPr="009B7BAB">
        <w:rPr>
          <w:b/>
        </w:rPr>
        <w:lastRenderedPageBreak/>
        <w:t>§ 6</w:t>
      </w:r>
    </w:p>
    <w:p w:rsidR="001D1691" w:rsidRPr="00A127BE" w:rsidRDefault="001D1691" w:rsidP="001D1691">
      <w:pPr>
        <w:ind w:left="-180"/>
        <w:jc w:val="both"/>
      </w:pPr>
      <w:r w:rsidRPr="00A127BE">
        <w:t>Uchwała wchodzi w życie z dniem podjęcia.</w:t>
      </w:r>
    </w:p>
    <w:p w:rsidR="001D1691" w:rsidRPr="007E0D16" w:rsidRDefault="001D1691" w:rsidP="001D1691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1D1691" w:rsidRPr="007E0D16" w:rsidRDefault="001D1691" w:rsidP="001D1691">
      <w:pPr>
        <w:tabs>
          <w:tab w:val="decimal" w:pos="8280"/>
        </w:tabs>
        <w:ind w:left="-180"/>
        <w:rPr>
          <w:b/>
        </w:rPr>
      </w:pPr>
    </w:p>
    <w:p w:rsidR="001D1691" w:rsidRPr="007E0D16" w:rsidRDefault="001D1691" w:rsidP="001D1691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1D1691" w:rsidRPr="002359C4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2359C4">
        <w:t>zwiększenia planu dochodów i wydatków w dz. 010 wynikającego z przyznanej dotacji z b</w:t>
      </w:r>
      <w:r w:rsidRPr="002359C4">
        <w:t>u</w:t>
      </w:r>
      <w:r w:rsidRPr="002359C4">
        <w:t>dżetu Województwa Dolnośląskiego, w ramach pomocy finansowej, na zadanie związane z konserwacją rowów m</w:t>
      </w:r>
      <w:r w:rsidRPr="002359C4">
        <w:t>e</w:t>
      </w:r>
      <w:r w:rsidRPr="002359C4">
        <w:t>lioracyjnych;</w:t>
      </w:r>
    </w:p>
    <w:p w:rsidR="001D1691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wprowadzenia w dz. 400 nowego zadania inwestycyjnego pn. „Budowa gminnej instalacji fotowoltaicznej w Kamieńcu Ząbkowickim o mocy do 5 </w:t>
      </w:r>
      <w:r w:rsidRPr="00C93A9B">
        <w:t>MW</w:t>
      </w:r>
      <w:r>
        <w:t>”;</w:t>
      </w:r>
    </w:p>
    <w:p w:rsidR="001D1691" w:rsidRPr="00D1103B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D1103B">
        <w:t>zwiększenia w dz. 600 planu wydatków na istniejącym zadaniu dot. przebudowy drogi gmi</w:t>
      </w:r>
      <w:r w:rsidRPr="00D1103B">
        <w:t>n</w:t>
      </w:r>
      <w:r w:rsidRPr="00D1103B">
        <w:t>nej wewnętrznej zlokalizowanej na dz. nr 623, 548/4 i 679/23 obręb Kamieniec Ząbkowicki I do parametrów wymaganych dla dróg publicznych</w:t>
      </w:r>
      <w:r>
        <w:t xml:space="preserve"> oraz zwiększenia planu dochodów i w</w:t>
      </w:r>
      <w:r>
        <w:t>y</w:t>
      </w:r>
      <w:r>
        <w:t>datków na realizację zadania pn. „</w:t>
      </w:r>
      <w:r w:rsidRPr="001413B5">
        <w:t>Przebudowa drogi gminnej wewnętrznej w miejscowości Starczów działka nr 923 Gmina Kamieniec Ząbkowicki</w:t>
      </w:r>
      <w:r>
        <w:t xml:space="preserve">” w związku z przyznaniem </w:t>
      </w:r>
      <w:r w:rsidRPr="001413B5">
        <w:t>przez Krajowy Ośrodek Wsparcia Rolnictwa dofina</w:t>
      </w:r>
      <w:r w:rsidRPr="001413B5">
        <w:t>n</w:t>
      </w:r>
      <w:r w:rsidRPr="001413B5">
        <w:t>sowa</w:t>
      </w:r>
      <w:r>
        <w:t>nia do zadania</w:t>
      </w:r>
      <w:r w:rsidRPr="00D1103B">
        <w:t>;</w:t>
      </w:r>
    </w:p>
    <w:p w:rsidR="001D1691" w:rsidRPr="00E13BC9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E13BC9">
        <w:t>zwiększenia w dz. 700 planu wydatków majątkowych na istniejącym zadaniu dot. wykupu nieruchomości;</w:t>
      </w:r>
    </w:p>
    <w:p w:rsidR="001D1691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przeznaczenia w dz. 754, poprzez Fundusz Wsparcia Policji, środków finansowych </w:t>
      </w:r>
      <w:r w:rsidRPr="00C20521">
        <w:t>stanowi</w:t>
      </w:r>
      <w:r w:rsidRPr="00C20521">
        <w:t>ą</w:t>
      </w:r>
      <w:r w:rsidRPr="00C20521">
        <w:t xml:space="preserve">cych dochody własne </w:t>
      </w:r>
      <w:r>
        <w:t xml:space="preserve">Gminy </w:t>
      </w:r>
      <w:r w:rsidRPr="00C20521">
        <w:t xml:space="preserve">dla Policji na </w:t>
      </w:r>
      <w:r>
        <w:t>nagrody</w:t>
      </w:r>
      <w:r w:rsidRPr="00C20521">
        <w:t xml:space="preserve"> za osi</w:t>
      </w:r>
      <w:r w:rsidRPr="00C20521">
        <w:t>ą</w:t>
      </w:r>
      <w:r w:rsidRPr="00C20521">
        <w:t>gnięcia w służbie</w:t>
      </w:r>
      <w:r>
        <w:t>;</w:t>
      </w:r>
    </w:p>
    <w:p w:rsidR="001D1691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</w:t>
      </w:r>
      <w:r w:rsidRPr="002A6151">
        <w:t xml:space="preserve"> w dz. 852 planu dochodów i wydatków </w:t>
      </w:r>
      <w:r>
        <w:t>w związku ze zmianą planu dotacji przezn</w:t>
      </w:r>
      <w:r>
        <w:t>a</w:t>
      </w:r>
      <w:r>
        <w:t>czonych na zasiłki stałe, zasiłki okresowe, zryczałtowane dodatki energetyczne dla odbio</w:t>
      </w:r>
      <w:r>
        <w:t>r</w:t>
      </w:r>
      <w:r>
        <w:t>ców wrażliwych energii elektrycznej oraz kosztów obsługi zadania, s</w:t>
      </w:r>
      <w:r w:rsidRPr="002A6151">
        <w:t>kładki na ubezpieczenie zdrowotne opłacane za osoby pobierające niektóre świadczenia z pomocy społecznej</w:t>
      </w:r>
      <w:r>
        <w:t>;</w:t>
      </w:r>
    </w:p>
    <w:p w:rsidR="001D1691" w:rsidRPr="00315B8B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zmiany w dz. 855 planu dochodów i wydatków w związku ze zmianą planu dotacji przezn</w:t>
      </w:r>
      <w:r>
        <w:t>a</w:t>
      </w:r>
      <w:r>
        <w:t xml:space="preserve">czonej na realizację rządowego programu „Dobry Start” oraz </w:t>
      </w:r>
      <w:r w:rsidRPr="009C44DA">
        <w:t>zabezpieczenia środków zwi</w:t>
      </w:r>
      <w:r w:rsidRPr="009C44DA">
        <w:t>ą</w:t>
      </w:r>
      <w:r w:rsidRPr="009C44DA">
        <w:t xml:space="preserve">zanych ze zwrotem do budżetu państwa nienależnie pobranych przez świadczeniobiorców </w:t>
      </w:r>
      <w:r>
        <w:t xml:space="preserve">świadczeń „Dobry </w:t>
      </w:r>
      <w:proofErr w:type="spellStart"/>
      <w:r>
        <w:t>Start”</w:t>
      </w:r>
      <w:r w:rsidRPr="009C44DA">
        <w:t>z</w:t>
      </w:r>
      <w:proofErr w:type="spellEnd"/>
      <w:r w:rsidRPr="009C44DA">
        <w:t xml:space="preserve"> lat ubiegłych i odsetek od nich n</w:t>
      </w:r>
      <w:r w:rsidRPr="009C44DA">
        <w:t>a</w:t>
      </w:r>
      <w:r w:rsidRPr="009C44DA">
        <w:t>liczanych</w:t>
      </w:r>
      <w:r w:rsidRPr="00315B8B">
        <w:t>;</w:t>
      </w:r>
    </w:p>
    <w:p w:rsidR="001D1691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6D7857">
        <w:t>zwiększenia w dz. 900 planu wydatków na dotacje przeznaczone na dofinansow</w:t>
      </w:r>
      <w:r w:rsidRPr="006D7857">
        <w:t>a</w:t>
      </w:r>
      <w:r w:rsidRPr="006D7857">
        <w:t>nie kosztów budowy indywidualnych, przydomowych oczyszczalni ścieków</w:t>
      </w:r>
      <w:r>
        <w:t xml:space="preserve"> oraz zmniejszenia planu w</w:t>
      </w:r>
      <w:r>
        <w:t>y</w:t>
      </w:r>
      <w:r>
        <w:t>datków na zadaniu „</w:t>
      </w:r>
      <w:r w:rsidRPr="007C0DA9">
        <w:t>Budowa gminnej sieci kanalizacji sanitarnej Kamieniec Ząbkowicki</w:t>
      </w:r>
      <w:r>
        <w:t>”</w:t>
      </w:r>
      <w:r w:rsidRPr="006D7857">
        <w:t>;</w:t>
      </w:r>
    </w:p>
    <w:p w:rsidR="001D1691" w:rsidRPr="006D7857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zmniejszenia w dz. 900 planu wydatków na zadaniu „</w:t>
      </w:r>
      <w:r w:rsidRPr="00EB400A">
        <w:t>Utworzenie Centrum Edukacji Przyro</w:t>
      </w:r>
      <w:r w:rsidRPr="00EB400A">
        <w:t>d</w:t>
      </w:r>
      <w:r w:rsidRPr="00EB400A">
        <w:t>niczo-Ekologicznej Parku Kulturowego Gminy Kamieniec Ząbkowicki</w:t>
      </w:r>
      <w:r>
        <w:t>”</w:t>
      </w:r>
      <w:r w:rsidRPr="00EB400A">
        <w:t xml:space="preserve"> </w:t>
      </w:r>
      <w:r>
        <w:t xml:space="preserve">oraz jednoczesnego zmniejszenia </w:t>
      </w:r>
      <w:r w:rsidRPr="00EB400A">
        <w:t>w dz. 758 planu dochodów uzyskan</w:t>
      </w:r>
      <w:r>
        <w:t>ych</w:t>
      </w:r>
      <w:r w:rsidRPr="00EB400A">
        <w:t xml:space="preserve"> z Fundu</w:t>
      </w:r>
      <w:r>
        <w:t>szu Prze</w:t>
      </w:r>
      <w:r w:rsidRPr="00EB400A">
        <w:t>ciwdziałania COVID-19</w:t>
      </w:r>
      <w:r>
        <w:t xml:space="preserve"> na wskazane zadanie (</w:t>
      </w:r>
      <w:r w:rsidRPr="00867821">
        <w:t xml:space="preserve">zakończenie realizacji zadania przewiduje się na </w:t>
      </w:r>
      <w:r>
        <w:t>rok następny – płatność za realizację zadania w r</w:t>
      </w:r>
      <w:r>
        <w:t>o</w:t>
      </w:r>
      <w:r>
        <w:t>ku następnym)</w:t>
      </w:r>
      <w:r w:rsidRPr="00EB400A">
        <w:t>;</w:t>
      </w:r>
    </w:p>
    <w:p w:rsidR="001D1691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91015C">
        <w:t xml:space="preserve">zwiększenia w dz. 921 planu </w:t>
      </w:r>
      <w:r>
        <w:t>uzyskanych dochodów</w:t>
      </w:r>
      <w:r w:rsidRPr="0091015C">
        <w:t xml:space="preserve"> </w:t>
      </w:r>
      <w:r>
        <w:t>na realizację wydatków bieżących dot. projektu</w:t>
      </w:r>
      <w:r w:rsidRPr="0091015C">
        <w:t xml:space="preserve"> „Nowa jakość zwiedzania w romantycznym zespole pałacowo-parkowym w K</w:t>
      </w:r>
      <w:r w:rsidRPr="0091015C">
        <w:t>a</w:t>
      </w:r>
      <w:r w:rsidRPr="0091015C">
        <w:t>mieńcu Ząbkowickim”</w:t>
      </w:r>
      <w:r>
        <w:t>;</w:t>
      </w:r>
    </w:p>
    <w:p w:rsidR="001D1691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4D0773">
        <w:t>zmniejszenia w dz. 921 planu dotacji przeznaczonej na realizację zadania „Kamieniec Zą</w:t>
      </w:r>
      <w:r w:rsidRPr="004D0773">
        <w:t>b</w:t>
      </w:r>
      <w:r w:rsidRPr="004D0773">
        <w:t>kowicki, Pałac (XIX w.): ratownicze prace konstrukcyjne w części południowej dachu pał</w:t>
      </w:r>
      <w:r w:rsidRPr="004D0773">
        <w:t>a</w:t>
      </w:r>
      <w:r>
        <w:t>cu”;</w:t>
      </w:r>
    </w:p>
    <w:p w:rsidR="001D1691" w:rsidRDefault="001D1691" w:rsidP="001D1691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zmniejszenia w dz. 926 planu wydatków na zadaniu „Termomodernizacja budynku wiel</w:t>
      </w:r>
      <w:r>
        <w:t>o</w:t>
      </w:r>
      <w:r>
        <w:t>funkcyjnego hali sportowej w Kamieńcu Ząbkowickim przy ul. Zamkowej 4a”.</w:t>
      </w:r>
    </w:p>
    <w:p w:rsidR="001D1691" w:rsidRPr="00EF3986" w:rsidRDefault="001D1691" w:rsidP="001D1691">
      <w:pPr>
        <w:tabs>
          <w:tab w:val="decimal" w:pos="8280"/>
        </w:tabs>
        <w:ind w:left="-180"/>
        <w:jc w:val="both"/>
      </w:pPr>
    </w:p>
    <w:p w:rsidR="001D1691" w:rsidRPr="00EF3986" w:rsidRDefault="001D1691" w:rsidP="001D1691">
      <w:pPr>
        <w:tabs>
          <w:tab w:val="decimal" w:pos="8280"/>
        </w:tabs>
        <w:ind w:left="-180"/>
        <w:jc w:val="both"/>
      </w:pPr>
      <w:r w:rsidRPr="00EF3986">
        <w:t>Pozostałe zmiany dotyczą urealnienia planu wydatków budżetu Gminy.</w:t>
      </w:r>
    </w:p>
    <w:p w:rsidR="001D1691" w:rsidRPr="00EF3986" w:rsidRDefault="001D1691" w:rsidP="001D1691">
      <w:pPr>
        <w:tabs>
          <w:tab w:val="num" w:pos="360"/>
          <w:tab w:val="decimal" w:pos="8280"/>
        </w:tabs>
        <w:ind w:left="-180"/>
        <w:jc w:val="both"/>
      </w:pPr>
    </w:p>
    <w:p w:rsidR="001D1691" w:rsidRPr="00A65406" w:rsidRDefault="001D1691" w:rsidP="001D1691">
      <w:pPr>
        <w:tabs>
          <w:tab w:val="decimal" w:pos="8280"/>
        </w:tabs>
        <w:ind w:left="-180"/>
        <w:jc w:val="both"/>
      </w:pPr>
      <w:r w:rsidRPr="00A65406">
        <w:t>W związku z powyższym na przypadające do spłaty w roku 2021 kwoty rat kredytów długoterm</w:t>
      </w:r>
      <w:r w:rsidRPr="00A65406">
        <w:t>i</w:t>
      </w:r>
      <w:r w:rsidRPr="00A65406">
        <w:t>nowych w łącznej wysokości 694 100 zł przeznacza się wolne środki. Różnica pomiędzy doch</w:t>
      </w:r>
      <w:r w:rsidRPr="00A65406">
        <w:t>o</w:t>
      </w:r>
      <w:r w:rsidRPr="00A65406">
        <w:t xml:space="preserve">dami a wydatkami (deficyt budżetu) w kwocie </w:t>
      </w:r>
      <w:r w:rsidRPr="00A65406">
        <w:rPr>
          <w:bCs/>
        </w:rPr>
        <w:t xml:space="preserve">8 635 441,85 </w:t>
      </w:r>
      <w:r w:rsidRPr="00A65406">
        <w:t xml:space="preserve">zł sfinansowana zostanie z wolnych środków i </w:t>
      </w:r>
      <w:r w:rsidRPr="00A65406">
        <w:rPr>
          <w:bCs/>
        </w:rPr>
        <w:t>niewyk</w:t>
      </w:r>
      <w:r w:rsidRPr="00A65406">
        <w:rPr>
          <w:bCs/>
        </w:rPr>
        <w:t>o</w:t>
      </w:r>
      <w:r w:rsidRPr="00A65406">
        <w:rPr>
          <w:bCs/>
        </w:rPr>
        <w:t>rzystanych środków pieniężnych na rachunku bieżącym budżetu, wynikających z rozliczenia dochodów i wydatków nimi finansowanych związanych ze szczególnymi zasadami wykonywania budżetu określonymi w odrębnych ustawach</w:t>
      </w:r>
      <w:r w:rsidRPr="00A65406">
        <w:t>.</w:t>
      </w:r>
    </w:p>
    <w:p w:rsidR="001D1691" w:rsidRPr="00D65DD3" w:rsidRDefault="001D1691" w:rsidP="001D1691">
      <w:pPr>
        <w:tabs>
          <w:tab w:val="decimal" w:pos="8280"/>
        </w:tabs>
        <w:ind w:left="-180"/>
        <w:jc w:val="both"/>
        <w:rPr>
          <w:color w:val="FF0000"/>
        </w:rPr>
      </w:pPr>
    </w:p>
    <w:p w:rsidR="001D1691" w:rsidRPr="00A65406" w:rsidRDefault="001D1691" w:rsidP="001D1691">
      <w:pPr>
        <w:tabs>
          <w:tab w:val="decimal" w:pos="8280"/>
        </w:tabs>
        <w:ind w:left="-180"/>
        <w:jc w:val="both"/>
      </w:pPr>
      <w:r w:rsidRPr="00A65406">
        <w:t>Po dokonanych zmianach budżet Gminy przedstawia się j.n.</w:t>
      </w:r>
    </w:p>
    <w:p w:rsidR="001D1691" w:rsidRPr="00A65406" w:rsidRDefault="001D1691" w:rsidP="001D1691">
      <w:pPr>
        <w:tabs>
          <w:tab w:val="decimal" w:pos="8280"/>
        </w:tabs>
        <w:ind w:left="-180"/>
        <w:jc w:val="both"/>
      </w:pPr>
    </w:p>
    <w:p w:rsidR="001D1691" w:rsidRPr="00A65406" w:rsidRDefault="001D1691" w:rsidP="001D1691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1D1691" w:rsidRPr="00A65406" w:rsidTr="0075701D">
        <w:trPr>
          <w:trHeight w:val="497"/>
          <w:jc w:val="center"/>
        </w:trPr>
        <w:tc>
          <w:tcPr>
            <w:tcW w:w="2071" w:type="dxa"/>
            <w:vAlign w:val="center"/>
          </w:tcPr>
          <w:p w:rsidR="001D1691" w:rsidRPr="00A65406" w:rsidRDefault="001D1691" w:rsidP="0075701D">
            <w:pPr>
              <w:ind w:left="-180" w:right="-180"/>
              <w:jc w:val="center"/>
            </w:pPr>
            <w:r w:rsidRPr="00A65406">
              <w:t>Wyszczególnienie</w:t>
            </w:r>
          </w:p>
        </w:tc>
        <w:tc>
          <w:tcPr>
            <w:tcW w:w="2396" w:type="dxa"/>
            <w:vAlign w:val="center"/>
          </w:tcPr>
          <w:p w:rsidR="001D1691" w:rsidRPr="00A65406" w:rsidRDefault="001D1691" w:rsidP="0075701D">
            <w:pPr>
              <w:ind w:left="-180" w:right="-180"/>
              <w:jc w:val="center"/>
            </w:pPr>
            <w:r w:rsidRPr="00A65406">
              <w:t>Zapis przed zmi</w:t>
            </w:r>
            <w:r w:rsidRPr="00A65406">
              <w:t>a</w:t>
            </w:r>
            <w:r w:rsidRPr="00A65406">
              <w:t>nami</w:t>
            </w:r>
          </w:p>
        </w:tc>
        <w:tc>
          <w:tcPr>
            <w:tcW w:w="1980" w:type="dxa"/>
            <w:vAlign w:val="center"/>
          </w:tcPr>
          <w:p w:rsidR="001D1691" w:rsidRPr="00A65406" w:rsidRDefault="001D1691" w:rsidP="0075701D">
            <w:pPr>
              <w:ind w:left="-180" w:right="-180"/>
              <w:jc w:val="center"/>
            </w:pPr>
            <w:r w:rsidRPr="00A65406">
              <w:t>Zmiana</w:t>
            </w:r>
          </w:p>
        </w:tc>
        <w:tc>
          <w:tcPr>
            <w:tcW w:w="2051" w:type="dxa"/>
            <w:vAlign w:val="center"/>
          </w:tcPr>
          <w:p w:rsidR="001D1691" w:rsidRPr="00A65406" w:rsidRDefault="001D1691" w:rsidP="0075701D">
            <w:pPr>
              <w:ind w:left="-180" w:right="-180"/>
              <w:jc w:val="center"/>
            </w:pPr>
            <w:r w:rsidRPr="00A65406">
              <w:t>Zapis po zmianie</w:t>
            </w:r>
          </w:p>
        </w:tc>
      </w:tr>
      <w:tr w:rsidR="001D1691" w:rsidRPr="00A65406" w:rsidTr="0075701D">
        <w:trPr>
          <w:jc w:val="center"/>
        </w:trPr>
        <w:tc>
          <w:tcPr>
            <w:tcW w:w="2071" w:type="dxa"/>
          </w:tcPr>
          <w:p w:rsidR="001D1691" w:rsidRPr="00A65406" w:rsidRDefault="001D1691" w:rsidP="007570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540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1D1691" w:rsidRPr="00A65406" w:rsidRDefault="001D1691" w:rsidP="007570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540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1D1691" w:rsidRPr="00A65406" w:rsidRDefault="001D1691" w:rsidP="007570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540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1D1691" w:rsidRPr="00A65406" w:rsidRDefault="001D1691" w:rsidP="0075701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A65406">
              <w:rPr>
                <w:b/>
                <w:sz w:val="18"/>
                <w:szCs w:val="18"/>
              </w:rPr>
              <w:t>4</w:t>
            </w:r>
          </w:p>
        </w:tc>
      </w:tr>
      <w:tr w:rsidR="001D1691" w:rsidRPr="00A65406" w:rsidTr="0075701D">
        <w:trPr>
          <w:jc w:val="center"/>
        </w:trPr>
        <w:tc>
          <w:tcPr>
            <w:tcW w:w="2071" w:type="dxa"/>
            <w:vAlign w:val="center"/>
          </w:tcPr>
          <w:p w:rsidR="001D1691" w:rsidRPr="00A65406" w:rsidRDefault="001D1691" w:rsidP="0075701D">
            <w:pPr>
              <w:ind w:left="-23" w:right="-180"/>
              <w:rPr>
                <w:b/>
              </w:rPr>
            </w:pPr>
            <w:r w:rsidRPr="00A65406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1D1691" w:rsidRPr="00A65406" w:rsidRDefault="001D1691" w:rsidP="0075701D">
            <w:pPr>
              <w:ind w:left="-180" w:right="-73"/>
              <w:jc w:val="right"/>
              <w:rPr>
                <w:b/>
              </w:rPr>
            </w:pPr>
            <w:r w:rsidRPr="00A65406">
              <w:rPr>
                <w:b/>
              </w:rPr>
              <w:t>48 158 115,46</w:t>
            </w:r>
          </w:p>
        </w:tc>
        <w:tc>
          <w:tcPr>
            <w:tcW w:w="1980" w:type="dxa"/>
            <w:vAlign w:val="center"/>
          </w:tcPr>
          <w:p w:rsidR="001D1691" w:rsidRPr="00A65406" w:rsidRDefault="001D1691" w:rsidP="0075701D">
            <w:pPr>
              <w:ind w:left="-180" w:right="-73"/>
              <w:jc w:val="right"/>
              <w:rPr>
                <w:b/>
              </w:rPr>
            </w:pPr>
            <w:r w:rsidRPr="00A65406">
              <w:rPr>
                <w:b/>
              </w:rPr>
              <w:t>- 3 554 881,60</w:t>
            </w:r>
          </w:p>
        </w:tc>
        <w:tc>
          <w:tcPr>
            <w:tcW w:w="2051" w:type="dxa"/>
            <w:vAlign w:val="center"/>
          </w:tcPr>
          <w:p w:rsidR="001D1691" w:rsidRPr="00A65406" w:rsidRDefault="001D1691" w:rsidP="0075701D">
            <w:pPr>
              <w:ind w:left="-180" w:right="-73"/>
              <w:jc w:val="right"/>
              <w:rPr>
                <w:b/>
              </w:rPr>
            </w:pPr>
            <w:r w:rsidRPr="00A65406">
              <w:rPr>
                <w:b/>
              </w:rPr>
              <w:t>44 603 233,86</w:t>
            </w:r>
          </w:p>
        </w:tc>
      </w:tr>
      <w:tr w:rsidR="001D1691" w:rsidRPr="007C1D22" w:rsidTr="0075701D">
        <w:trPr>
          <w:jc w:val="center"/>
        </w:trPr>
        <w:tc>
          <w:tcPr>
            <w:tcW w:w="2071" w:type="dxa"/>
            <w:vAlign w:val="center"/>
          </w:tcPr>
          <w:p w:rsidR="001D1691" w:rsidRPr="007C1D22" w:rsidRDefault="001D1691" w:rsidP="0075701D">
            <w:pPr>
              <w:ind w:left="-23" w:right="-180"/>
              <w:rPr>
                <w:b/>
              </w:rPr>
            </w:pPr>
            <w:r w:rsidRPr="007C1D22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1D1691" w:rsidRPr="007C1D22" w:rsidRDefault="001D1691" w:rsidP="0075701D">
            <w:pPr>
              <w:ind w:left="-180" w:right="-73"/>
              <w:jc w:val="right"/>
              <w:rPr>
                <w:b/>
              </w:rPr>
            </w:pPr>
            <w:r w:rsidRPr="007C1D22">
              <w:rPr>
                <w:b/>
              </w:rPr>
              <w:t>56 773 207,71</w:t>
            </w:r>
          </w:p>
        </w:tc>
        <w:tc>
          <w:tcPr>
            <w:tcW w:w="1980" w:type="dxa"/>
          </w:tcPr>
          <w:p w:rsidR="001D1691" w:rsidRPr="007C1D22" w:rsidRDefault="001D1691" w:rsidP="0075701D">
            <w:pPr>
              <w:ind w:left="-180" w:right="-73"/>
              <w:jc w:val="right"/>
              <w:rPr>
                <w:b/>
              </w:rPr>
            </w:pPr>
            <w:r w:rsidRPr="007C1D22">
              <w:rPr>
                <w:b/>
              </w:rPr>
              <w:t>- 3 534 532,00</w:t>
            </w:r>
          </w:p>
        </w:tc>
        <w:tc>
          <w:tcPr>
            <w:tcW w:w="2051" w:type="dxa"/>
            <w:vAlign w:val="center"/>
          </w:tcPr>
          <w:p w:rsidR="001D1691" w:rsidRPr="007C1D22" w:rsidRDefault="001D1691" w:rsidP="0075701D">
            <w:pPr>
              <w:ind w:left="-180" w:right="-73"/>
              <w:jc w:val="right"/>
              <w:rPr>
                <w:b/>
              </w:rPr>
            </w:pPr>
            <w:r w:rsidRPr="007C1D22">
              <w:rPr>
                <w:b/>
              </w:rPr>
              <w:t>53 238 675,71</w:t>
            </w:r>
          </w:p>
        </w:tc>
      </w:tr>
      <w:tr w:rsidR="001D1691" w:rsidRPr="00EB5F41" w:rsidTr="0075701D">
        <w:trPr>
          <w:jc w:val="center"/>
        </w:trPr>
        <w:tc>
          <w:tcPr>
            <w:tcW w:w="2071" w:type="dxa"/>
            <w:vAlign w:val="center"/>
          </w:tcPr>
          <w:p w:rsidR="001D1691" w:rsidRPr="00EB5F41" w:rsidRDefault="001D1691" w:rsidP="0075701D">
            <w:pPr>
              <w:ind w:left="-23" w:right="-180"/>
              <w:rPr>
                <w:b/>
              </w:rPr>
            </w:pPr>
            <w:r w:rsidRPr="00EB5F41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1D1691" w:rsidRPr="00EB5F41" w:rsidRDefault="001D1691" w:rsidP="0075701D">
            <w:pPr>
              <w:ind w:left="-180" w:right="-73"/>
              <w:jc w:val="right"/>
              <w:rPr>
                <w:b/>
              </w:rPr>
            </w:pPr>
            <w:r w:rsidRPr="00EB5F41">
              <w:rPr>
                <w:b/>
              </w:rPr>
              <w:t>- 8 615 092,25</w:t>
            </w:r>
          </w:p>
        </w:tc>
        <w:tc>
          <w:tcPr>
            <w:tcW w:w="1980" w:type="dxa"/>
          </w:tcPr>
          <w:p w:rsidR="001D1691" w:rsidRPr="00EB5F41" w:rsidRDefault="001D1691" w:rsidP="0075701D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1D1691" w:rsidRPr="00EB5F41" w:rsidRDefault="001D1691" w:rsidP="0075701D">
            <w:pPr>
              <w:ind w:left="-180" w:right="-73"/>
              <w:jc w:val="right"/>
              <w:rPr>
                <w:b/>
              </w:rPr>
            </w:pPr>
            <w:r w:rsidRPr="00EB5F41">
              <w:rPr>
                <w:b/>
              </w:rPr>
              <w:t>- 8 635 441,85</w:t>
            </w:r>
          </w:p>
        </w:tc>
      </w:tr>
      <w:tr w:rsidR="001D1691" w:rsidRPr="00987917" w:rsidTr="0075701D">
        <w:trPr>
          <w:trHeight w:val="50"/>
          <w:jc w:val="center"/>
        </w:trPr>
        <w:tc>
          <w:tcPr>
            <w:tcW w:w="2071" w:type="dxa"/>
            <w:vAlign w:val="center"/>
          </w:tcPr>
          <w:p w:rsidR="001D1691" w:rsidRPr="00987917" w:rsidRDefault="001D1691" w:rsidP="0075701D">
            <w:pPr>
              <w:ind w:left="-23" w:right="-180"/>
              <w:rPr>
                <w:b/>
              </w:rPr>
            </w:pPr>
            <w:r w:rsidRPr="00987917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1D1691" w:rsidRPr="00987917" w:rsidRDefault="001D1691" w:rsidP="0075701D">
            <w:pPr>
              <w:ind w:left="-180" w:right="-73"/>
              <w:jc w:val="right"/>
              <w:rPr>
                <w:b/>
              </w:rPr>
            </w:pPr>
            <w:r w:rsidRPr="00987917">
              <w:rPr>
                <w:b/>
              </w:rPr>
              <w:t>9 309 192,25</w:t>
            </w:r>
          </w:p>
        </w:tc>
        <w:tc>
          <w:tcPr>
            <w:tcW w:w="1980" w:type="dxa"/>
          </w:tcPr>
          <w:p w:rsidR="001D1691" w:rsidRPr="00987917" w:rsidRDefault="001D1691" w:rsidP="0075701D">
            <w:pPr>
              <w:ind w:left="-180" w:right="-73"/>
              <w:jc w:val="center"/>
              <w:rPr>
                <w:b/>
              </w:rPr>
            </w:pPr>
            <w:r w:rsidRPr="00987917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1D1691" w:rsidRPr="00987917" w:rsidRDefault="001D1691" w:rsidP="0075701D">
            <w:pPr>
              <w:ind w:left="-180" w:right="-73"/>
              <w:jc w:val="right"/>
              <w:rPr>
                <w:b/>
              </w:rPr>
            </w:pPr>
            <w:r w:rsidRPr="00987917">
              <w:rPr>
                <w:b/>
              </w:rPr>
              <w:t>9 329 541,85</w:t>
            </w:r>
          </w:p>
        </w:tc>
      </w:tr>
      <w:tr w:rsidR="001D1691" w:rsidRPr="00987917" w:rsidTr="0075701D">
        <w:trPr>
          <w:jc w:val="center"/>
        </w:trPr>
        <w:tc>
          <w:tcPr>
            <w:tcW w:w="2071" w:type="dxa"/>
            <w:vAlign w:val="center"/>
          </w:tcPr>
          <w:p w:rsidR="001D1691" w:rsidRPr="00987917" w:rsidRDefault="001D1691" w:rsidP="0075701D">
            <w:pPr>
              <w:ind w:left="-23" w:right="-180"/>
              <w:rPr>
                <w:b/>
              </w:rPr>
            </w:pPr>
            <w:r w:rsidRPr="00987917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1D1691" w:rsidRPr="00987917" w:rsidRDefault="001D1691" w:rsidP="0075701D">
            <w:pPr>
              <w:ind w:left="-180" w:right="-73"/>
              <w:jc w:val="right"/>
              <w:rPr>
                <w:b/>
              </w:rPr>
            </w:pPr>
            <w:r w:rsidRPr="00987917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1D1691" w:rsidRPr="00987917" w:rsidRDefault="001D1691" w:rsidP="0075701D">
            <w:pPr>
              <w:ind w:left="-180" w:right="-73"/>
              <w:jc w:val="center"/>
              <w:rPr>
                <w:b/>
              </w:rPr>
            </w:pPr>
            <w:r w:rsidRPr="00987917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1D1691" w:rsidRPr="00987917" w:rsidRDefault="001D1691" w:rsidP="0075701D">
            <w:pPr>
              <w:ind w:left="-180" w:right="-73"/>
              <w:jc w:val="right"/>
              <w:rPr>
                <w:b/>
              </w:rPr>
            </w:pPr>
            <w:r w:rsidRPr="00987917">
              <w:rPr>
                <w:b/>
              </w:rPr>
              <w:t>694 100,00</w:t>
            </w:r>
          </w:p>
        </w:tc>
      </w:tr>
    </w:tbl>
    <w:p w:rsidR="001D1691" w:rsidRPr="00D65DD3" w:rsidRDefault="001D1691" w:rsidP="001D1691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Pr="00F51D8C" w:rsidRDefault="001D1691" w:rsidP="001D1691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……..</w:t>
      </w:r>
      <w:r w:rsidRPr="00F51D8C">
        <w:rPr>
          <w:sz w:val="18"/>
          <w:szCs w:val="18"/>
        </w:rPr>
        <w:t>/2021</w:t>
      </w:r>
    </w:p>
    <w:p w:rsidR="001D1691" w:rsidRPr="00591FEE" w:rsidRDefault="001D1691" w:rsidP="001D1691">
      <w:pPr>
        <w:tabs>
          <w:tab w:val="left" w:pos="5400"/>
        </w:tabs>
        <w:ind w:firstLine="5400"/>
        <w:rPr>
          <w:sz w:val="18"/>
          <w:szCs w:val="18"/>
        </w:rPr>
      </w:pPr>
      <w:r w:rsidRPr="00591FEE">
        <w:rPr>
          <w:sz w:val="18"/>
          <w:szCs w:val="18"/>
        </w:rPr>
        <w:t>Rady Miejskiej w Kamieńcu Ząbkowickim</w:t>
      </w:r>
    </w:p>
    <w:p w:rsidR="001D1691" w:rsidRPr="00F51D8C" w:rsidRDefault="001D1691" w:rsidP="001D1691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………….</w:t>
      </w:r>
    </w:p>
    <w:p w:rsidR="001D1691" w:rsidRPr="008B5B26" w:rsidRDefault="001D1691" w:rsidP="001D1691">
      <w:pPr>
        <w:tabs>
          <w:tab w:val="decimal" w:pos="8280"/>
        </w:tabs>
        <w:jc w:val="both"/>
        <w:rPr>
          <w:color w:val="FF0000"/>
          <w:sz w:val="16"/>
          <w:szCs w:val="16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1D1691" w:rsidRPr="004B6285" w:rsidRDefault="001D1691" w:rsidP="001D1691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1D1691" w:rsidRPr="008B5B26" w:rsidRDefault="001D1691" w:rsidP="001D1691">
      <w:pPr>
        <w:ind w:right="-180"/>
        <w:rPr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1D1691" w:rsidRPr="008B5B26" w:rsidRDefault="001D1691" w:rsidP="001D1691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4955"/>
        <w:gridCol w:w="1752"/>
        <w:gridCol w:w="1737"/>
      </w:tblGrid>
      <w:tr w:rsidR="001D1691" w:rsidRPr="008B5B26" w:rsidTr="0075701D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</w:p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</w:p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</w:p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</w:p>
          <w:p w:rsidR="001D1691" w:rsidRPr="00AB6D6B" w:rsidRDefault="001D1691" w:rsidP="0075701D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1D1691" w:rsidRPr="008B5B26" w:rsidTr="0075701D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1D1691" w:rsidRPr="00AB6D6B" w:rsidRDefault="001D1691" w:rsidP="0075701D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1D1691" w:rsidRPr="00143EAE" w:rsidTr="0075701D">
        <w:tc>
          <w:tcPr>
            <w:tcW w:w="844" w:type="dxa"/>
            <w:tcBorders>
              <w:bottom w:val="single" w:sz="12" w:space="0" w:color="auto"/>
            </w:tcBorders>
          </w:tcPr>
          <w:p w:rsidR="001D1691" w:rsidRPr="00143EAE" w:rsidRDefault="001D1691" w:rsidP="0075701D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1D1691" w:rsidRPr="00143EAE" w:rsidRDefault="001D1691" w:rsidP="0075701D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1D1691" w:rsidRPr="00143EAE" w:rsidRDefault="001D1691" w:rsidP="0075701D">
            <w:pPr>
              <w:ind w:right="-180"/>
            </w:pPr>
          </w:p>
          <w:p w:rsidR="001D1691" w:rsidRPr="00143EAE" w:rsidRDefault="001D1691" w:rsidP="0075701D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1D1691" w:rsidRPr="00143EAE" w:rsidRDefault="001D1691" w:rsidP="0075701D">
            <w:pPr>
              <w:ind w:right="-180"/>
            </w:pPr>
          </w:p>
          <w:p w:rsidR="001D1691" w:rsidRPr="00143EAE" w:rsidRDefault="001D1691" w:rsidP="0075701D">
            <w:pPr>
              <w:ind w:right="-180"/>
              <w:jc w:val="center"/>
            </w:pPr>
            <w:r w:rsidRPr="00143EAE">
              <w:t>-</w:t>
            </w:r>
          </w:p>
          <w:p w:rsidR="001D1691" w:rsidRPr="00143EAE" w:rsidRDefault="001D1691" w:rsidP="0075701D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1D1691" w:rsidRPr="00143EAE" w:rsidRDefault="001D1691" w:rsidP="0075701D">
            <w:pPr>
              <w:ind w:right="-180"/>
            </w:pPr>
          </w:p>
          <w:p w:rsidR="001D1691" w:rsidRPr="00143EAE" w:rsidRDefault="001D1691" w:rsidP="0075701D">
            <w:pPr>
              <w:ind w:right="-180"/>
              <w:jc w:val="center"/>
            </w:pPr>
            <w:r>
              <w:t>694 100,00</w:t>
            </w:r>
          </w:p>
          <w:p w:rsidR="001D1691" w:rsidRPr="00143EAE" w:rsidRDefault="001D1691" w:rsidP="0075701D">
            <w:pPr>
              <w:ind w:right="-180"/>
              <w:jc w:val="center"/>
            </w:pPr>
          </w:p>
          <w:p w:rsidR="001D1691" w:rsidRPr="00143EAE" w:rsidRDefault="001D1691" w:rsidP="0075701D">
            <w:pPr>
              <w:ind w:right="-180"/>
            </w:pPr>
          </w:p>
        </w:tc>
      </w:tr>
      <w:tr w:rsidR="001D1691" w:rsidRPr="00303D7B" w:rsidTr="0075701D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1D1691" w:rsidRPr="00303D7B" w:rsidRDefault="001D1691" w:rsidP="0075701D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1D1691" w:rsidRPr="00303D7B" w:rsidRDefault="001D1691" w:rsidP="0075701D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1D1691" w:rsidRPr="00303D7B" w:rsidRDefault="001D1691" w:rsidP="0075701D">
            <w:pPr>
              <w:ind w:right="-180"/>
            </w:pPr>
          </w:p>
          <w:p w:rsidR="001D1691" w:rsidRDefault="001D1691" w:rsidP="0075701D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  <w:r>
              <w:t>:</w:t>
            </w:r>
          </w:p>
          <w:p w:rsidR="001D1691" w:rsidRDefault="001D1691" w:rsidP="0075701D">
            <w:pPr>
              <w:ind w:right="-180"/>
            </w:pPr>
            <w:r>
              <w:t xml:space="preserve">- </w:t>
            </w:r>
            <w:r w:rsidRPr="001D39DD">
              <w:t>środki przysługujące Gminie z Funduszu Przeciwdziałania COVID-19</w:t>
            </w:r>
          </w:p>
          <w:p w:rsidR="001D1691" w:rsidRPr="000533C7" w:rsidRDefault="001D1691" w:rsidP="0075701D">
            <w:pPr>
              <w:ind w:right="-180"/>
            </w:pPr>
            <w:r>
              <w:t xml:space="preserve">- </w:t>
            </w:r>
            <w:r w:rsidRPr="000533C7">
              <w:t xml:space="preserve">nadwyżka dochodów wykonanych z </w:t>
            </w:r>
            <w:r>
              <w:t xml:space="preserve">tyt. </w:t>
            </w:r>
            <w:r w:rsidRPr="000533C7">
              <w:t>opłat za zezwolenia na sprzedaż napojów alkoholowych nad wydatkam</w:t>
            </w:r>
            <w:r>
              <w:t>i wykonanymi na przeciwdziałanie</w:t>
            </w:r>
            <w:r w:rsidRPr="000533C7">
              <w:t xml:space="preserve"> alkoholizmowi i narkomanii</w:t>
            </w:r>
          </w:p>
          <w:p w:rsidR="001D1691" w:rsidRPr="00AF65B8" w:rsidRDefault="001D1691" w:rsidP="0075701D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1D1691" w:rsidRPr="00303D7B" w:rsidRDefault="001D1691" w:rsidP="0075701D">
            <w:pPr>
              <w:ind w:right="-180"/>
            </w:pPr>
          </w:p>
          <w:p w:rsidR="001D1691" w:rsidRDefault="001D1691" w:rsidP="0075701D">
            <w:pPr>
              <w:ind w:right="-180"/>
              <w:jc w:val="center"/>
              <w:rPr>
                <w:highlight w:val="yellow"/>
              </w:rPr>
            </w:pPr>
          </w:p>
          <w:p w:rsidR="001D1691" w:rsidRDefault="001D1691" w:rsidP="0075701D">
            <w:pPr>
              <w:ind w:right="-180"/>
              <w:jc w:val="center"/>
              <w:rPr>
                <w:highlight w:val="yellow"/>
              </w:rPr>
            </w:pPr>
          </w:p>
          <w:p w:rsidR="001D1691" w:rsidRDefault="001D1691" w:rsidP="0075701D">
            <w:pPr>
              <w:ind w:right="-180"/>
              <w:jc w:val="center"/>
              <w:rPr>
                <w:highlight w:val="yellow"/>
              </w:rPr>
            </w:pPr>
          </w:p>
          <w:p w:rsidR="001D1691" w:rsidRDefault="001D1691" w:rsidP="0075701D">
            <w:pPr>
              <w:ind w:right="-180"/>
              <w:jc w:val="center"/>
            </w:pPr>
          </w:p>
          <w:p w:rsidR="001D1691" w:rsidRDefault="001D1691" w:rsidP="0075701D">
            <w:pPr>
              <w:ind w:right="-180"/>
              <w:jc w:val="center"/>
            </w:pPr>
          </w:p>
          <w:p w:rsidR="001D1691" w:rsidRDefault="001D1691" w:rsidP="0075701D">
            <w:pPr>
              <w:ind w:right="-180"/>
              <w:jc w:val="center"/>
            </w:pPr>
          </w:p>
          <w:p w:rsidR="001D1691" w:rsidRDefault="001D1691" w:rsidP="0075701D">
            <w:pPr>
              <w:ind w:right="-180"/>
              <w:jc w:val="center"/>
            </w:pPr>
          </w:p>
          <w:p w:rsidR="001D1691" w:rsidRDefault="001D1691" w:rsidP="0075701D">
            <w:pPr>
              <w:ind w:right="-180"/>
              <w:jc w:val="center"/>
            </w:pPr>
          </w:p>
          <w:p w:rsidR="001D1691" w:rsidRDefault="001D1691" w:rsidP="0075701D">
            <w:pPr>
              <w:ind w:right="-45"/>
              <w:jc w:val="right"/>
            </w:pPr>
            <w:r w:rsidRPr="00D911F9">
              <w:t>5</w:t>
            </w:r>
            <w:r>
              <w:t> 093 253,14</w:t>
            </w:r>
          </w:p>
          <w:p w:rsidR="001D1691" w:rsidRDefault="001D1691" w:rsidP="0075701D">
            <w:pPr>
              <w:ind w:right="-180"/>
              <w:jc w:val="center"/>
            </w:pPr>
          </w:p>
          <w:p w:rsidR="001D1691" w:rsidRDefault="001D1691" w:rsidP="0075701D">
            <w:pPr>
              <w:ind w:right="-180"/>
              <w:jc w:val="center"/>
            </w:pPr>
          </w:p>
          <w:p w:rsidR="001D1691" w:rsidRDefault="001D1691" w:rsidP="0075701D">
            <w:pPr>
              <w:ind w:right="-180"/>
            </w:pPr>
          </w:p>
          <w:p w:rsidR="001D1691" w:rsidRPr="00D911F9" w:rsidRDefault="001D1691" w:rsidP="0075701D">
            <w:pPr>
              <w:ind w:right="-45"/>
              <w:jc w:val="right"/>
            </w:pPr>
            <w:r>
              <w:t>37 277,36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1D1691" w:rsidRPr="00303D7B" w:rsidRDefault="001D1691" w:rsidP="0075701D">
            <w:pPr>
              <w:ind w:right="-180"/>
            </w:pPr>
          </w:p>
          <w:p w:rsidR="001D1691" w:rsidRPr="00303D7B" w:rsidRDefault="001D1691" w:rsidP="0075701D">
            <w:pPr>
              <w:ind w:right="-180"/>
              <w:jc w:val="center"/>
            </w:pPr>
            <w:r w:rsidRPr="00303D7B">
              <w:t>-</w:t>
            </w:r>
          </w:p>
          <w:p w:rsidR="001D1691" w:rsidRPr="00303D7B" w:rsidRDefault="001D1691" w:rsidP="0075701D">
            <w:pPr>
              <w:ind w:right="-180"/>
              <w:jc w:val="center"/>
            </w:pPr>
          </w:p>
          <w:p w:rsidR="001D1691" w:rsidRPr="00303D7B" w:rsidRDefault="001D1691" w:rsidP="0075701D">
            <w:pPr>
              <w:ind w:right="-180"/>
            </w:pPr>
          </w:p>
        </w:tc>
      </w:tr>
      <w:tr w:rsidR="001D1691" w:rsidRPr="00143EAE" w:rsidTr="0075701D">
        <w:tc>
          <w:tcPr>
            <w:tcW w:w="844" w:type="dxa"/>
            <w:tcBorders>
              <w:bottom w:val="single" w:sz="12" w:space="0" w:color="auto"/>
            </w:tcBorders>
          </w:tcPr>
          <w:p w:rsidR="001D1691" w:rsidRPr="00143EAE" w:rsidRDefault="001D1691" w:rsidP="0075701D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1D1691" w:rsidRPr="00143EAE" w:rsidRDefault="001D1691" w:rsidP="0075701D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1D1691" w:rsidRPr="00143EAE" w:rsidRDefault="001D1691" w:rsidP="0075701D">
            <w:pPr>
              <w:ind w:right="-180"/>
            </w:pPr>
          </w:p>
          <w:p w:rsidR="001D1691" w:rsidRPr="00143EAE" w:rsidRDefault="001D1691" w:rsidP="0075701D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1D1691" w:rsidRPr="00303D7B" w:rsidRDefault="001D1691" w:rsidP="0075701D">
            <w:pPr>
              <w:ind w:right="-180"/>
            </w:pPr>
          </w:p>
          <w:p w:rsidR="001D1691" w:rsidRPr="00F43C28" w:rsidRDefault="001D1691" w:rsidP="0075701D">
            <w:pPr>
              <w:ind w:right="-45"/>
              <w:jc w:val="right"/>
            </w:pPr>
            <w:r>
              <w:t>4 199 011,35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1D1691" w:rsidRPr="00143EAE" w:rsidRDefault="001D1691" w:rsidP="0075701D">
            <w:pPr>
              <w:ind w:right="-180"/>
            </w:pPr>
          </w:p>
          <w:p w:rsidR="001D1691" w:rsidRPr="00143EAE" w:rsidRDefault="001D1691" w:rsidP="0075701D">
            <w:pPr>
              <w:ind w:right="-180"/>
              <w:jc w:val="center"/>
            </w:pPr>
            <w:r w:rsidRPr="00143EAE">
              <w:t>-</w:t>
            </w:r>
          </w:p>
          <w:p w:rsidR="001D1691" w:rsidRPr="00143EAE" w:rsidRDefault="001D1691" w:rsidP="0075701D">
            <w:pPr>
              <w:ind w:right="-180"/>
              <w:jc w:val="center"/>
            </w:pPr>
          </w:p>
          <w:p w:rsidR="001D1691" w:rsidRPr="00143EAE" w:rsidRDefault="001D1691" w:rsidP="0075701D">
            <w:pPr>
              <w:ind w:right="-180"/>
            </w:pPr>
          </w:p>
        </w:tc>
      </w:tr>
      <w:tr w:rsidR="001D1691" w:rsidRPr="00303D7B" w:rsidTr="0075701D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1691" w:rsidRPr="00303D7B" w:rsidRDefault="001D1691" w:rsidP="0075701D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1691" w:rsidRPr="00F43C28" w:rsidRDefault="001D1691" w:rsidP="0075701D">
            <w:pPr>
              <w:jc w:val="right"/>
            </w:pPr>
            <w:r>
              <w:t>9 329 541,85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1691" w:rsidRPr="00303D7B" w:rsidRDefault="001D1691" w:rsidP="0075701D">
            <w:pPr>
              <w:ind w:right="-180"/>
              <w:jc w:val="center"/>
            </w:pPr>
            <w:r>
              <w:t>694 100,00</w:t>
            </w:r>
          </w:p>
        </w:tc>
      </w:tr>
    </w:tbl>
    <w:p w:rsidR="001D1691" w:rsidRPr="00BF609C" w:rsidRDefault="001D1691" w:rsidP="001D1691">
      <w:pPr>
        <w:ind w:right="-180"/>
        <w:rPr>
          <w:b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3 do Zarządzenia Nr  240/2021</w:t>
      </w:r>
    </w:p>
    <w:p w:rsidR="001D1691" w:rsidRDefault="001D1691" w:rsidP="001D169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1D1691" w:rsidRDefault="001D1691" w:rsidP="001D1691">
      <w:r>
        <w:rPr>
          <w:sz w:val="18"/>
          <w:szCs w:val="18"/>
        </w:rPr>
        <w:t xml:space="preserve">                                                                                                                            z dnia 26 lipca 2021 r. </w:t>
      </w: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jc w:val="center"/>
      </w:pPr>
      <w:r>
        <w:t xml:space="preserve">Uchwała Nr </w:t>
      </w:r>
    </w:p>
    <w:p w:rsidR="001D1691" w:rsidRDefault="001D1691" w:rsidP="001D1691">
      <w:pPr>
        <w:jc w:val="center"/>
      </w:pPr>
      <w:r>
        <w:t>Rady Miejskiej w Kamieńcu Ząbkowickim</w:t>
      </w:r>
    </w:p>
    <w:p w:rsidR="001D1691" w:rsidRDefault="001D1691" w:rsidP="001D1691">
      <w:pPr>
        <w:jc w:val="center"/>
      </w:pPr>
      <w:r>
        <w:t xml:space="preserve">z dnia </w:t>
      </w:r>
    </w:p>
    <w:p w:rsidR="001D1691" w:rsidRDefault="001D1691" w:rsidP="001D1691">
      <w:pPr>
        <w:jc w:val="center"/>
      </w:pPr>
    </w:p>
    <w:p w:rsidR="001D1691" w:rsidRDefault="001D1691" w:rsidP="001D1691">
      <w:pPr>
        <w:jc w:val="center"/>
      </w:pPr>
      <w:r>
        <w:t>w sprawie udzielenia dotacji na prace konserwatorskie i restauratorskie przy zabytku wpisanym do rejestru zabytków</w:t>
      </w:r>
    </w:p>
    <w:p w:rsidR="001D1691" w:rsidRDefault="001D1691" w:rsidP="001D1691">
      <w:pPr>
        <w:jc w:val="center"/>
      </w:pPr>
    </w:p>
    <w:p w:rsidR="001D1691" w:rsidRDefault="001D1691" w:rsidP="001D1691">
      <w:pPr>
        <w:jc w:val="center"/>
      </w:pPr>
    </w:p>
    <w:p w:rsidR="001D1691" w:rsidRPr="001D1691" w:rsidRDefault="001D1691" w:rsidP="001D1691">
      <w:pPr>
        <w:pStyle w:val="Nagwek3"/>
        <w:rPr>
          <w:color w:val="auto"/>
        </w:rPr>
      </w:pPr>
      <w:r w:rsidRPr="001D1691">
        <w:rPr>
          <w:b w:val="0"/>
          <w:color w:val="auto"/>
        </w:rPr>
        <w:t xml:space="preserve">Na podstawie art. 18 ust. 2 </w:t>
      </w:r>
      <w:proofErr w:type="spellStart"/>
      <w:r w:rsidRPr="001D1691">
        <w:rPr>
          <w:b w:val="0"/>
          <w:color w:val="auto"/>
        </w:rPr>
        <w:t>pkt</w:t>
      </w:r>
      <w:proofErr w:type="spellEnd"/>
      <w:r w:rsidRPr="001D1691">
        <w:rPr>
          <w:b w:val="0"/>
          <w:color w:val="auto"/>
        </w:rPr>
        <w:t xml:space="preserve"> 15 i art. 40 ust. 1 ustawy z dnia 8 marca 1990r. o samorządzie gminnym (</w:t>
      </w:r>
      <w:r w:rsidRPr="001D1691">
        <w:rPr>
          <w:rStyle w:val="ng-bindingng-scope"/>
          <w:b w:val="0"/>
          <w:color w:val="auto"/>
        </w:rPr>
        <w:t xml:space="preserve">Dz.U.2020.713 </w:t>
      </w:r>
      <w:proofErr w:type="spellStart"/>
      <w:r w:rsidRPr="001D1691">
        <w:rPr>
          <w:rStyle w:val="ng-bindingng-scope"/>
          <w:b w:val="0"/>
          <w:color w:val="auto"/>
        </w:rPr>
        <w:t>t.j</w:t>
      </w:r>
      <w:proofErr w:type="spellEnd"/>
      <w:r w:rsidRPr="001D1691">
        <w:rPr>
          <w:rStyle w:val="ng-bindingng-scope"/>
          <w:b w:val="0"/>
          <w:color w:val="auto"/>
        </w:rPr>
        <w:t>.</w:t>
      </w:r>
      <w:r w:rsidRPr="001D1691">
        <w:rPr>
          <w:b w:val="0"/>
          <w:color w:val="auto"/>
        </w:rPr>
        <w:t>), art. 81 ust. 1 ustawy z dnia 23 lipca 2003r. o ochronie zabytków i opiece nad zabytkami (</w:t>
      </w:r>
      <w:r w:rsidRPr="001D1691">
        <w:rPr>
          <w:rStyle w:val="ng-bindingng-scope"/>
          <w:b w:val="0"/>
          <w:color w:val="auto"/>
        </w:rPr>
        <w:t xml:space="preserve">Dz.U.2021.710 </w:t>
      </w:r>
      <w:proofErr w:type="spellStart"/>
      <w:r w:rsidRPr="001D1691">
        <w:rPr>
          <w:rStyle w:val="ng-bindingng-scope"/>
          <w:b w:val="0"/>
          <w:color w:val="auto"/>
        </w:rPr>
        <w:t>t.j</w:t>
      </w:r>
      <w:proofErr w:type="spellEnd"/>
      <w:r w:rsidRPr="001D1691">
        <w:rPr>
          <w:rStyle w:val="ng-bindingng-scope"/>
          <w:b w:val="0"/>
          <w:color w:val="auto"/>
        </w:rPr>
        <w:t>.</w:t>
      </w:r>
      <w:r w:rsidRPr="001D1691">
        <w:rPr>
          <w:b w:val="0"/>
          <w:color w:val="auto"/>
        </w:rPr>
        <w:t>) oraz § 7 ust. 1 Uchwały Nr XXIV/195/2020 Rady Gminy Kamieniec Ząbkowicki z dnia 4 listopada 2020r. w sprawie określenia zasad udzielania dotacji na prace konserwatorskie, restauratorskie lub roboty budowlane przy zabytku wpisanym do rejestru zabytków, Rada Gminy uchwala co następuje:</w:t>
      </w:r>
    </w:p>
    <w:p w:rsidR="001D1691" w:rsidRDefault="001D1691" w:rsidP="001D1691">
      <w:pPr>
        <w:jc w:val="both"/>
      </w:pPr>
    </w:p>
    <w:p w:rsidR="001D1691" w:rsidRDefault="001D1691" w:rsidP="001D1691">
      <w:pPr>
        <w:jc w:val="center"/>
      </w:pPr>
      <w:r>
        <w:t>§ 1.</w:t>
      </w:r>
    </w:p>
    <w:p w:rsidR="001D1691" w:rsidRDefault="001D1691" w:rsidP="001D1691">
      <w:pPr>
        <w:jc w:val="both"/>
      </w:pPr>
      <w:r>
        <w:t>Rada Miejska w Kamieńcu Ząbkowickim  udziela Parafii Rzymskokatolickiej p.w. Wniebowzięcia NMP w Kamieńcu Ząbkowickim dotacji na prace konserwatorskie i restauratorskie przy zabytku wpisanym do rejestru zabytków w dniu 18.03.1991r. pod numerem 732/452/1-132.</w:t>
      </w:r>
    </w:p>
    <w:p w:rsidR="001D1691" w:rsidRDefault="001D1691" w:rsidP="001D1691">
      <w:pPr>
        <w:jc w:val="both"/>
      </w:pPr>
    </w:p>
    <w:p w:rsidR="001D1691" w:rsidRDefault="001D1691" w:rsidP="001D1691">
      <w:pPr>
        <w:jc w:val="center"/>
      </w:pPr>
      <w:r>
        <w:t>§ 2.</w:t>
      </w:r>
    </w:p>
    <w:p w:rsidR="001D1691" w:rsidRDefault="001D1691" w:rsidP="001D1691">
      <w:pPr>
        <w:jc w:val="both"/>
      </w:pPr>
      <w:r>
        <w:t xml:space="preserve">Dotacja udzielona zostanie na wykonanie  prac konserwatorskich i restauratorskich ołtarza Św. Jana Ewangelisty w kaplicy Św. Marii Magdaleny Etap II w kościele </w:t>
      </w:r>
      <w:proofErr w:type="spellStart"/>
      <w:r>
        <w:t>pw</w:t>
      </w:r>
      <w:proofErr w:type="spellEnd"/>
      <w:r>
        <w:t xml:space="preserve">. Wniebowzięcia NMP i Św. Jakuba Starszego w Kamieńcu Ząbkowickim, których zakres określony został we wniosku Parafii z dnia 13.05.2021r. stanowiącym załącznik Nr 1 do niniejszej uchwały. </w:t>
      </w:r>
    </w:p>
    <w:p w:rsidR="001D1691" w:rsidRDefault="001D1691" w:rsidP="001D1691">
      <w:pPr>
        <w:jc w:val="both"/>
      </w:pPr>
    </w:p>
    <w:p w:rsidR="001D1691" w:rsidRDefault="001D1691" w:rsidP="001D1691">
      <w:pPr>
        <w:jc w:val="center"/>
      </w:pPr>
      <w:r>
        <w:t>§ 3.</w:t>
      </w:r>
    </w:p>
    <w:p w:rsidR="001D1691" w:rsidRDefault="001D1691" w:rsidP="001D1691">
      <w:pPr>
        <w:numPr>
          <w:ilvl w:val="0"/>
          <w:numId w:val="14"/>
        </w:numPr>
        <w:jc w:val="both"/>
      </w:pPr>
      <w:r>
        <w:t>Dotacja udzielona zostaje w wysokości 50 000,00 zł (słownie: pięćdziesiąt tysięcy złotych i 00/100 groszy).</w:t>
      </w:r>
    </w:p>
    <w:p w:rsidR="001D1691" w:rsidRDefault="001D1691" w:rsidP="001D1691">
      <w:pPr>
        <w:numPr>
          <w:ilvl w:val="0"/>
          <w:numId w:val="14"/>
        </w:numPr>
        <w:jc w:val="both"/>
      </w:pPr>
      <w:r>
        <w:t xml:space="preserve">Dotacja zostanie przekazana na podstawie umowy zawierającej postanowienia wskazane w § 8  Uchwały Nr </w:t>
      </w:r>
      <w:r w:rsidRPr="008A4DDD">
        <w:t>XXIV/195/2020</w:t>
      </w:r>
      <w:r w:rsidRPr="00E3602F">
        <w:rPr>
          <w:b/>
        </w:rPr>
        <w:t xml:space="preserve"> </w:t>
      </w:r>
      <w:r>
        <w:t xml:space="preserve">Rady Gminy Kamieniec Ząbkowicki z dnia </w:t>
      </w:r>
      <w:r w:rsidRPr="008A4DDD">
        <w:t>4 listopada 2020r.</w:t>
      </w:r>
      <w:r w:rsidRPr="00E3602F">
        <w:rPr>
          <w:b/>
        </w:rPr>
        <w:t xml:space="preserve"> </w:t>
      </w:r>
      <w:r>
        <w:t>w sprawie określenia zasad udzielania dotacji na prace konserwatorskie, restauratorskie lub roboty budowlane przy zabytku wpisanym do rejestru zabytków.</w:t>
      </w:r>
    </w:p>
    <w:p w:rsidR="001D1691" w:rsidRDefault="001D1691" w:rsidP="001D1691">
      <w:pPr>
        <w:jc w:val="both"/>
      </w:pPr>
    </w:p>
    <w:p w:rsidR="001D1691" w:rsidRDefault="001D1691" w:rsidP="001D1691">
      <w:pPr>
        <w:jc w:val="center"/>
      </w:pPr>
      <w:r>
        <w:t>§ 4.</w:t>
      </w:r>
    </w:p>
    <w:p w:rsidR="001D1691" w:rsidRDefault="001D1691" w:rsidP="001D1691">
      <w:pPr>
        <w:jc w:val="both"/>
      </w:pPr>
      <w:r>
        <w:t>Wykonanie uchwały powierza się Burmistrzowi Kamieńca Ząbkowickiemu.</w:t>
      </w:r>
    </w:p>
    <w:p w:rsidR="001D1691" w:rsidRDefault="001D1691" w:rsidP="001D1691"/>
    <w:p w:rsidR="001D1691" w:rsidRDefault="001D1691" w:rsidP="001D1691">
      <w:pPr>
        <w:jc w:val="center"/>
      </w:pPr>
      <w:r>
        <w:t>§ 5.</w:t>
      </w:r>
    </w:p>
    <w:p w:rsidR="001D1691" w:rsidRDefault="001D1691" w:rsidP="001D1691">
      <w:pPr>
        <w:jc w:val="both"/>
      </w:pPr>
      <w:r>
        <w:t>Uchwała wchodzi w życie z dniem podjęcia.</w:t>
      </w: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both"/>
      </w:pPr>
    </w:p>
    <w:p w:rsidR="001D1691" w:rsidRDefault="001D1691" w:rsidP="001D1691">
      <w:pPr>
        <w:jc w:val="center"/>
      </w:pPr>
      <w:r>
        <w:t xml:space="preserve">Uzasadnienie do uchwały nr </w:t>
      </w:r>
    </w:p>
    <w:p w:rsidR="001D1691" w:rsidRDefault="001D1691" w:rsidP="001D1691">
      <w:pPr>
        <w:jc w:val="center"/>
      </w:pPr>
      <w:r>
        <w:t>Rady Miejskiej w Kamieńcu Ząbkowickim</w:t>
      </w:r>
    </w:p>
    <w:p w:rsidR="001D1691" w:rsidRDefault="001D1691" w:rsidP="001D1691">
      <w:pPr>
        <w:jc w:val="center"/>
      </w:pPr>
      <w:r>
        <w:t xml:space="preserve">z dnia </w:t>
      </w:r>
    </w:p>
    <w:p w:rsidR="001D1691" w:rsidRDefault="001D1691" w:rsidP="001D1691">
      <w:pPr>
        <w:jc w:val="center"/>
      </w:pPr>
    </w:p>
    <w:p w:rsidR="001D1691" w:rsidRDefault="001D1691" w:rsidP="001D1691">
      <w:pPr>
        <w:jc w:val="center"/>
      </w:pPr>
    </w:p>
    <w:p w:rsidR="001D1691" w:rsidRDefault="001D1691" w:rsidP="001D1691">
      <w:pPr>
        <w:jc w:val="center"/>
      </w:pPr>
      <w:r>
        <w:t>w sprawie udzielenia dotacji na prace konserwatorskie i restauratorskie przy zabytku wpisanym do rejestru zabytków</w:t>
      </w:r>
    </w:p>
    <w:p w:rsidR="001D1691" w:rsidRDefault="001D1691" w:rsidP="001D1691">
      <w:pPr>
        <w:jc w:val="center"/>
      </w:pPr>
    </w:p>
    <w:p w:rsidR="001D1691" w:rsidRDefault="001D1691" w:rsidP="001D1691">
      <w:pPr>
        <w:ind w:firstLine="708"/>
        <w:jc w:val="both"/>
      </w:pPr>
      <w:r>
        <w:t xml:space="preserve">W dniu 13 maja 2021r. Parafia Rzymskokatolicka p.w. Wniebowzięcia NMP w Kamieńcu Ząbkowickim złożyła wniosek o dotację na wykonanie ratunkowych prac konserwatorskich i restauratorskich przy zabytku wpisanym do rejestru zabytków w dniu 18.03.1991r. pod numerem 732/452/1-132 tj. wykonanie  prac konserwatorskich i restauratorskich ołtarza Św. Jana Ewangelisty w kaplicy Św. Marii Magdaleny Etap II w kościele </w:t>
      </w:r>
      <w:proofErr w:type="spellStart"/>
      <w:r>
        <w:t>pw</w:t>
      </w:r>
      <w:proofErr w:type="spellEnd"/>
      <w:r>
        <w:t xml:space="preserve">. Wniebowzięcia NMP i Św. Jakuba Starszego w Kamieńcu Ząbkowickim </w:t>
      </w:r>
    </w:p>
    <w:p w:rsidR="001D1691" w:rsidRDefault="001D1691" w:rsidP="001D1691">
      <w:pPr>
        <w:ind w:firstLine="708"/>
        <w:jc w:val="both"/>
      </w:pPr>
      <w:r>
        <w:t>Burmistrz Kamieńca Ząbkowickiego przedłożył wniosek do zaopiniowania Komisji Budżetowej Rady Miejskiej w Kamieńcu Ząbkowickim.</w:t>
      </w:r>
    </w:p>
    <w:p w:rsidR="001D1691" w:rsidRDefault="001D1691" w:rsidP="001D1691">
      <w:pPr>
        <w:ind w:firstLine="708"/>
        <w:jc w:val="both"/>
      </w:pPr>
      <w:r>
        <w:t xml:space="preserve">W dniu 27 lipca 2021r. Komisja Budżetowa zaopiniowała pozytywnie wniosek o dotację na wykonanie  prac konserwatorskich i restauratorskich przy ww. zabytku. W związku ze spełnieniem przez Wnioskodawcę wymogów określonych w Uchwale Nr </w:t>
      </w:r>
      <w:r w:rsidRPr="008A4DDD">
        <w:t>XXIV/195/2020</w:t>
      </w:r>
      <w:r w:rsidRPr="00E3602F">
        <w:rPr>
          <w:b/>
        </w:rPr>
        <w:t xml:space="preserve"> </w:t>
      </w:r>
      <w:r>
        <w:t xml:space="preserve">Rady Gminy Kamieniec Ząbkowicki z dnia </w:t>
      </w:r>
      <w:r w:rsidRPr="008A4DDD">
        <w:t>4 listopada 2020r.</w:t>
      </w:r>
      <w:r w:rsidRPr="00E3602F">
        <w:rPr>
          <w:b/>
        </w:rPr>
        <w:t xml:space="preserve"> </w:t>
      </w:r>
      <w:r>
        <w:t>w sprawie określenia zasad udzielania dotacji na prace konserwatorskie, restauratorskie lub roboty budowlane przy zabytku wpisanym do rejestru zabytków oraz uzyskaniem pozytywnej opinii Komisji Budżetowej o udzieleniu dotacji podjęcie przedmiotowej uchwały jest zasadne.</w:t>
      </w: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ind w:right="-180"/>
        <w:rPr>
          <w:b/>
          <w:color w:val="FF0000"/>
        </w:rPr>
      </w:pPr>
    </w:p>
    <w:p w:rsidR="001D1691" w:rsidRPr="008B5B26" w:rsidRDefault="001D1691" w:rsidP="001D1691">
      <w:pPr>
        <w:rPr>
          <w:color w:val="FF0000"/>
        </w:rPr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4 do Zarządzenia Nr  240/2021</w:t>
      </w:r>
    </w:p>
    <w:p w:rsidR="001D1691" w:rsidRDefault="001D1691" w:rsidP="001D169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1D1691" w:rsidRDefault="001D1691" w:rsidP="001D1691">
      <w:r>
        <w:rPr>
          <w:sz w:val="18"/>
          <w:szCs w:val="18"/>
        </w:rPr>
        <w:t xml:space="preserve">                                                                                                                            z dnia 26 lipca 2021 r. </w:t>
      </w:r>
    </w:p>
    <w:p w:rsidR="001D1691" w:rsidRDefault="001D1691" w:rsidP="001D1691">
      <w:pPr>
        <w:spacing w:after="240"/>
      </w:pP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b/>
          <w:bCs/>
          <w:color w:val="000000"/>
        </w:rPr>
        <w:t xml:space="preserve">Uchwała Nr 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b/>
          <w:bCs/>
          <w:color w:val="000000"/>
        </w:rPr>
        <w:t xml:space="preserve">Rady </w:t>
      </w:r>
      <w:r>
        <w:rPr>
          <w:b/>
          <w:bCs/>
          <w:color w:val="000000"/>
        </w:rPr>
        <w:t xml:space="preserve">Miejskiej w </w:t>
      </w:r>
      <w:r w:rsidRPr="00470E0A">
        <w:rPr>
          <w:b/>
          <w:bCs/>
          <w:color w:val="000000"/>
        </w:rPr>
        <w:t>Kamie</w:t>
      </w:r>
      <w:r>
        <w:rPr>
          <w:b/>
          <w:bCs/>
          <w:color w:val="000000"/>
        </w:rPr>
        <w:t>ńcu</w:t>
      </w:r>
      <w:r w:rsidRPr="00470E0A">
        <w:rPr>
          <w:b/>
          <w:bCs/>
          <w:color w:val="000000"/>
        </w:rPr>
        <w:t xml:space="preserve"> Ząbkowicki</w:t>
      </w:r>
      <w:r>
        <w:rPr>
          <w:b/>
          <w:bCs/>
          <w:color w:val="000000"/>
        </w:rPr>
        <w:t>m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70E0A">
        <w:rPr>
          <w:b/>
          <w:bCs/>
          <w:color w:val="000000"/>
        </w:rPr>
        <w:t xml:space="preserve">z dnia 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70E0A">
        <w:rPr>
          <w:b/>
          <w:bCs/>
          <w:color w:val="000000"/>
        </w:rPr>
        <w:t>w sprawie określenia średniej ceny jednostkowej paliwa w Gminie Kamieniec Ząbkowicki w roku szkolnym 202</w:t>
      </w:r>
      <w:r>
        <w:rPr>
          <w:b/>
          <w:bCs/>
          <w:color w:val="000000"/>
        </w:rPr>
        <w:t>1</w:t>
      </w:r>
      <w:r w:rsidRPr="00470E0A">
        <w:rPr>
          <w:b/>
          <w:bCs/>
          <w:color w:val="000000"/>
        </w:rPr>
        <w:t>/202</w:t>
      </w:r>
      <w:r>
        <w:rPr>
          <w:b/>
          <w:bCs/>
          <w:color w:val="000000"/>
        </w:rPr>
        <w:t>2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Na podstawie art. 18 ust. 2 </w:t>
      </w:r>
      <w:proofErr w:type="spellStart"/>
      <w:r w:rsidRPr="00470E0A">
        <w:rPr>
          <w:color w:val="000000"/>
        </w:rPr>
        <w:t>pkt</w:t>
      </w:r>
      <w:proofErr w:type="spellEnd"/>
      <w:r w:rsidRPr="00470E0A">
        <w:rPr>
          <w:color w:val="000000"/>
        </w:rPr>
        <w:t xml:space="preserve"> 15 ustawy z dnia 8 marca 1990 r. o samorządzie gminnym (Dz. U. z 2020 r. poz. 713 ze zm.) oraz art. 39a ustawy z dnia 14 grudnia 2016 r. Prawo oświatowe (Dz. U. z 202</w:t>
      </w:r>
      <w:r>
        <w:rPr>
          <w:color w:val="000000"/>
        </w:rPr>
        <w:t>1</w:t>
      </w:r>
      <w:r w:rsidRPr="00470E0A">
        <w:rPr>
          <w:color w:val="000000"/>
        </w:rPr>
        <w:t xml:space="preserve">r. poz. </w:t>
      </w:r>
      <w:r>
        <w:rPr>
          <w:color w:val="000000"/>
        </w:rPr>
        <w:t>1082</w:t>
      </w:r>
      <w:r w:rsidRPr="00470E0A">
        <w:rPr>
          <w:color w:val="000000"/>
        </w:rPr>
        <w:t xml:space="preserve"> ze zm.) uchwala się, co następuje:</w:t>
      </w:r>
    </w:p>
    <w:p w:rsidR="001D1691" w:rsidRPr="00470E0A" w:rsidRDefault="001D1691" w:rsidP="001D1691">
      <w:pPr>
        <w:autoSpaceDE w:val="0"/>
        <w:autoSpaceDN w:val="0"/>
        <w:adjustRightInd w:val="0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color w:val="000000"/>
        </w:rPr>
        <w:t>§ 1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>Ustala się na rok szkolny 202</w:t>
      </w:r>
      <w:r>
        <w:rPr>
          <w:color w:val="000000"/>
        </w:rPr>
        <w:t>1</w:t>
      </w:r>
      <w:r w:rsidRPr="00470E0A">
        <w:rPr>
          <w:color w:val="000000"/>
        </w:rPr>
        <w:t>/202</w:t>
      </w:r>
      <w:r>
        <w:rPr>
          <w:color w:val="000000"/>
        </w:rPr>
        <w:t>2</w:t>
      </w:r>
      <w:r w:rsidRPr="00470E0A">
        <w:rPr>
          <w:color w:val="000000"/>
        </w:rPr>
        <w:t xml:space="preserve"> średnią cenę jednostkową paliwa w Gminie Kamieniec Ząbkowicki w odniesieniu do:</w:t>
      </w:r>
    </w:p>
    <w:p w:rsidR="001D1691" w:rsidRPr="00470E0A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</w:p>
    <w:p w:rsidR="001D1691" w:rsidRPr="00470E0A" w:rsidRDefault="001D1691" w:rsidP="001D169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Benzyna PB 95 – </w:t>
      </w:r>
      <w:r>
        <w:rPr>
          <w:color w:val="000000"/>
        </w:rPr>
        <w:t xml:space="preserve">4,82 </w:t>
      </w:r>
      <w:r w:rsidRPr="00470E0A">
        <w:rPr>
          <w:color w:val="000000"/>
        </w:rPr>
        <w:t>zł/l</w:t>
      </w:r>
    </w:p>
    <w:p w:rsidR="001D1691" w:rsidRPr="00470E0A" w:rsidRDefault="001D1691" w:rsidP="001D169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Olej napędowy ON – </w:t>
      </w:r>
      <w:r>
        <w:rPr>
          <w:color w:val="000000"/>
        </w:rPr>
        <w:t xml:space="preserve">4,71 </w:t>
      </w:r>
      <w:r w:rsidRPr="00470E0A">
        <w:rPr>
          <w:color w:val="000000"/>
        </w:rPr>
        <w:t>zł/l</w:t>
      </w:r>
    </w:p>
    <w:p w:rsidR="001D1691" w:rsidRPr="00470E0A" w:rsidRDefault="001D1691" w:rsidP="001D169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>Autogaz LPG –</w:t>
      </w:r>
      <w:r>
        <w:rPr>
          <w:color w:val="000000"/>
        </w:rPr>
        <w:t xml:space="preserve"> 2,22</w:t>
      </w:r>
      <w:r w:rsidRPr="00470E0A">
        <w:rPr>
          <w:color w:val="000000"/>
        </w:rPr>
        <w:t xml:space="preserve"> zł/l</w:t>
      </w:r>
    </w:p>
    <w:p w:rsidR="001D1691" w:rsidRPr="00470E0A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color w:val="000000"/>
        </w:rPr>
        <w:t>§ 2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Wykonanie uchwały powierza się </w:t>
      </w:r>
      <w:r>
        <w:rPr>
          <w:color w:val="000000"/>
        </w:rPr>
        <w:t>Burmistrzowi</w:t>
      </w:r>
      <w:r w:rsidRPr="00470E0A">
        <w:rPr>
          <w:color w:val="000000"/>
        </w:rPr>
        <w:t xml:space="preserve"> Kamie</w:t>
      </w:r>
      <w:r>
        <w:rPr>
          <w:color w:val="000000"/>
        </w:rPr>
        <w:t>ńca</w:t>
      </w:r>
      <w:r w:rsidRPr="00470E0A">
        <w:rPr>
          <w:color w:val="000000"/>
        </w:rPr>
        <w:t xml:space="preserve"> Ząbkowicki</w:t>
      </w:r>
      <w:r>
        <w:rPr>
          <w:color w:val="000000"/>
        </w:rPr>
        <w:t>ego</w:t>
      </w:r>
      <w:r w:rsidRPr="00470E0A">
        <w:rPr>
          <w:color w:val="000000"/>
        </w:rPr>
        <w:t>.</w:t>
      </w:r>
    </w:p>
    <w:p w:rsidR="001D1691" w:rsidRPr="00470E0A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</w:p>
    <w:p w:rsidR="001D1691" w:rsidRDefault="001D1691" w:rsidP="001D1691">
      <w:pPr>
        <w:jc w:val="center"/>
        <w:rPr>
          <w:color w:val="000000"/>
        </w:rPr>
      </w:pPr>
      <w:r w:rsidRPr="00470E0A">
        <w:rPr>
          <w:color w:val="000000"/>
        </w:rPr>
        <w:t>§ 3</w:t>
      </w:r>
    </w:p>
    <w:p w:rsidR="001D1691" w:rsidRPr="00470E0A" w:rsidRDefault="001D1691" w:rsidP="001D1691">
      <w:pPr>
        <w:jc w:val="center"/>
        <w:rPr>
          <w:color w:val="000000"/>
        </w:rPr>
      </w:pPr>
    </w:p>
    <w:p w:rsidR="001D1691" w:rsidRPr="00470E0A" w:rsidRDefault="001D1691" w:rsidP="001D1691">
      <w:pPr>
        <w:jc w:val="both"/>
        <w:rPr>
          <w:color w:val="000000"/>
        </w:rPr>
      </w:pPr>
      <w:r w:rsidRPr="00470E0A">
        <w:rPr>
          <w:color w:val="000000"/>
        </w:rPr>
        <w:t xml:space="preserve">Uchwała podlega ogłoszeniu na tablicy ogłoszeń Urzędu </w:t>
      </w:r>
      <w:r>
        <w:rPr>
          <w:color w:val="000000"/>
        </w:rPr>
        <w:t>Miejskiego</w:t>
      </w:r>
      <w:r w:rsidRPr="00470E0A">
        <w:rPr>
          <w:color w:val="000000"/>
        </w:rPr>
        <w:t xml:space="preserve"> Kamieniec Ząbkowicki, oraz na stronie internetowej BIP Urzędu </w:t>
      </w:r>
      <w:r>
        <w:rPr>
          <w:color w:val="000000"/>
        </w:rPr>
        <w:t>Miejskiego</w:t>
      </w:r>
      <w:r w:rsidRPr="00470E0A">
        <w:rPr>
          <w:color w:val="000000"/>
        </w:rPr>
        <w:t xml:space="preserve"> Kamieniec Ząbkowicki.</w:t>
      </w:r>
    </w:p>
    <w:p w:rsidR="001D1691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color w:val="000000"/>
        </w:rPr>
        <w:t>§ 4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Uchwała wchodzi w życie </w:t>
      </w:r>
      <w:r>
        <w:rPr>
          <w:color w:val="000000"/>
        </w:rPr>
        <w:t>po upływie 14 dni od dnia ogłoszenie w Dzienniku Urzędowym Województwa Dolnośląskiego.</w:t>
      </w:r>
    </w:p>
    <w:p w:rsidR="001D1691" w:rsidRPr="00470E0A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F27964" w:rsidRDefault="001D1691" w:rsidP="001D169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  <w:r w:rsidRPr="00F27964">
        <w:rPr>
          <w:b/>
          <w:bCs/>
          <w:color w:val="000000"/>
          <w:sz w:val="28"/>
          <w:szCs w:val="28"/>
          <w:u w:val="single"/>
        </w:rPr>
        <w:t>UZASADNIENIE</w:t>
      </w:r>
    </w:p>
    <w:p w:rsidR="001D1691" w:rsidRPr="00F27964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</w:p>
    <w:p w:rsidR="001D1691" w:rsidRPr="00F27964" w:rsidRDefault="001D1691" w:rsidP="001D169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27964">
        <w:rPr>
          <w:b/>
          <w:bCs/>
          <w:color w:val="000000"/>
        </w:rPr>
        <w:t xml:space="preserve">do uchwały Rady </w:t>
      </w:r>
      <w:r>
        <w:rPr>
          <w:b/>
          <w:bCs/>
          <w:color w:val="000000"/>
        </w:rPr>
        <w:t>Miejskiej</w:t>
      </w:r>
      <w:r w:rsidRPr="00F2796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w </w:t>
      </w:r>
      <w:r w:rsidRPr="00F27964">
        <w:rPr>
          <w:b/>
          <w:bCs/>
          <w:color w:val="000000"/>
        </w:rPr>
        <w:t>Kamie</w:t>
      </w:r>
      <w:r>
        <w:rPr>
          <w:b/>
          <w:bCs/>
          <w:color w:val="000000"/>
        </w:rPr>
        <w:t>ńcu</w:t>
      </w:r>
      <w:r w:rsidRPr="00F27964">
        <w:rPr>
          <w:b/>
          <w:bCs/>
          <w:color w:val="000000"/>
        </w:rPr>
        <w:t xml:space="preserve"> Ząbkowicki</w:t>
      </w:r>
      <w:r>
        <w:rPr>
          <w:b/>
          <w:bCs/>
          <w:color w:val="000000"/>
        </w:rPr>
        <w:t>m</w:t>
      </w:r>
    </w:p>
    <w:p w:rsidR="001D1691" w:rsidRDefault="001D1691" w:rsidP="001D169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27964">
        <w:rPr>
          <w:b/>
          <w:bCs/>
          <w:color w:val="000000"/>
        </w:rPr>
        <w:t xml:space="preserve">w sprawie </w:t>
      </w:r>
      <w:r w:rsidRPr="00470E0A">
        <w:rPr>
          <w:b/>
          <w:bCs/>
          <w:color w:val="000000"/>
        </w:rPr>
        <w:t xml:space="preserve">określenia średniej ceny jednostkowej paliwa </w:t>
      </w:r>
    </w:p>
    <w:p w:rsidR="001D1691" w:rsidRDefault="001D1691" w:rsidP="001D1691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b/>
          <w:bCs/>
          <w:color w:val="000000"/>
        </w:rPr>
        <w:t>w Gminie Kamieniec Ząbkowicki w roku szkolnym 202</w:t>
      </w:r>
      <w:r>
        <w:rPr>
          <w:b/>
          <w:bCs/>
          <w:color w:val="000000"/>
        </w:rPr>
        <w:t>1</w:t>
      </w:r>
      <w:r w:rsidRPr="00470E0A">
        <w:rPr>
          <w:b/>
          <w:bCs/>
          <w:color w:val="000000"/>
        </w:rPr>
        <w:t>/202</w:t>
      </w:r>
      <w:r>
        <w:rPr>
          <w:b/>
          <w:bCs/>
          <w:color w:val="000000"/>
        </w:rPr>
        <w:t>2</w:t>
      </w: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F27964" w:rsidRDefault="001D1691" w:rsidP="001D1691">
      <w:pPr>
        <w:jc w:val="both"/>
      </w:pPr>
      <w:r>
        <w:rPr>
          <w:color w:val="000000"/>
        </w:rPr>
        <w:t xml:space="preserve">Zgodnie z ustawą z dnia 14 grudnia 2016 r. Prawo oświatowe </w:t>
      </w:r>
      <w:r w:rsidRPr="00470E0A">
        <w:rPr>
          <w:color w:val="000000"/>
        </w:rPr>
        <w:t>(Dz. U. z 202</w:t>
      </w:r>
      <w:r>
        <w:rPr>
          <w:color w:val="000000"/>
        </w:rPr>
        <w:t>1</w:t>
      </w:r>
      <w:r w:rsidRPr="00470E0A">
        <w:rPr>
          <w:color w:val="000000"/>
        </w:rPr>
        <w:t xml:space="preserve">r. poz. </w:t>
      </w:r>
      <w:r>
        <w:rPr>
          <w:color w:val="000000"/>
        </w:rPr>
        <w:t>1082</w:t>
      </w:r>
      <w:r w:rsidRPr="00470E0A">
        <w:rPr>
          <w:color w:val="000000"/>
        </w:rPr>
        <w:t xml:space="preserve"> ze zm.) </w:t>
      </w:r>
      <w:r>
        <w:rPr>
          <w:color w:val="000000"/>
        </w:rPr>
        <w:t>o</w:t>
      </w:r>
      <w:r w:rsidRPr="00F27964">
        <w:t>bowiązkiem gminy jest:</w:t>
      </w:r>
    </w:p>
    <w:p w:rsidR="001D1691" w:rsidRPr="00F27964" w:rsidRDefault="001D1691" w:rsidP="001D1691">
      <w:pPr>
        <w:jc w:val="both"/>
      </w:pPr>
      <w:r w:rsidRPr="00F27964">
        <w:t xml:space="preserve">1) zapewnienie uczniom niepełnosprawnym, których kształcenie i wychowanie odbywa się na podstawie art. 127, bezpłatnego transportu i opieki w czasie przewozu do najbliższej szkoły podstawowej, a uczniom z niepełnosprawnością ruchową, w tym z afazją, </w:t>
      </w:r>
      <w:r>
        <w:br/>
      </w:r>
      <w:r w:rsidRPr="00F27964">
        <w:t xml:space="preserve">z niepełnosprawnością intelektualną w stopniu umiarkowanym lub znacznym - także do najbliższej szkoły ponadpodstawowej, do końca roku szkolnego w roku kalendarzowym, </w:t>
      </w:r>
      <w:r>
        <w:br/>
      </w:r>
      <w:r w:rsidRPr="00F27964">
        <w:t>w którym uczeń kończy 21. rok życia;</w:t>
      </w:r>
    </w:p>
    <w:p w:rsidR="001D1691" w:rsidRPr="00F27964" w:rsidRDefault="001D1691" w:rsidP="001D1691">
      <w:pPr>
        <w:jc w:val="both"/>
      </w:pPr>
      <w:r w:rsidRPr="00F27964">
        <w:t xml:space="preserve">2) zapewnienie dzieciom i młodzieży, o których mowa w art. 36 ust. 17, a także dzieciom </w:t>
      </w:r>
      <w:r>
        <w:br/>
      </w:r>
      <w:r w:rsidRPr="00F27964">
        <w:t xml:space="preserve">i młodzieży z </w:t>
      </w:r>
      <w:proofErr w:type="spellStart"/>
      <w:r w:rsidRPr="00F27964">
        <w:t>niepełnosprawnościami</w:t>
      </w:r>
      <w:proofErr w:type="spellEnd"/>
      <w:r w:rsidRPr="00F27964">
        <w:t xml:space="preserve"> sprzężonymi, z których jedną z niepełnosprawności jest niepełnosprawność intelektualna, bezpłatnego transportu i opieki w czasie przewozu do ośrodka rewalidacyjno-wychowawczego, do końca roku szkolnego w roku kalendarzowym, </w:t>
      </w:r>
      <w:r>
        <w:br/>
      </w:r>
      <w:r w:rsidRPr="00F27964">
        <w:t>w którym kończą:</w:t>
      </w:r>
    </w:p>
    <w:p w:rsidR="001D1691" w:rsidRPr="00F27964" w:rsidRDefault="001D1691" w:rsidP="001D1691">
      <w:pPr>
        <w:jc w:val="both"/>
      </w:pPr>
      <w:r w:rsidRPr="00F27964">
        <w:t xml:space="preserve">a) 24. rok życia - w przypadku uczniów z </w:t>
      </w:r>
      <w:proofErr w:type="spellStart"/>
      <w:r w:rsidRPr="00F27964">
        <w:t>niepełnosprawnościami</w:t>
      </w:r>
      <w:proofErr w:type="spellEnd"/>
      <w:r w:rsidRPr="00F27964">
        <w:t xml:space="preserve"> sprzężonymi, z których jedną z niepełnosprawności jest niepełnosprawność intelektualna,</w:t>
      </w:r>
    </w:p>
    <w:p w:rsidR="001D1691" w:rsidRPr="00F27964" w:rsidRDefault="001D1691" w:rsidP="001D1691">
      <w:pPr>
        <w:jc w:val="both"/>
      </w:pPr>
      <w:r w:rsidRPr="00F27964">
        <w:t>b) 25. rok życia - w przypadku uczestników zajęć rewalidacyjno-wychowawczych</w:t>
      </w:r>
      <w:r>
        <w:t>.</w:t>
      </w:r>
    </w:p>
    <w:p w:rsidR="001D1691" w:rsidRDefault="001D1691" w:rsidP="001D1691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Wyżej wymienione obowiązki gmina spełnia poprzez zwrot rodzicom kosztów przewozu dzieci/uczniów wraz z rodzicami do placówek oświatowych. Zwrot kosztów przewozu następuje na podstawie umowy zawartej między </w:t>
      </w:r>
      <w:r w:rsidRPr="002603A1">
        <w:t>burmistrzem</w:t>
      </w:r>
      <w:r>
        <w:t xml:space="preserve"> </w:t>
      </w:r>
      <w:r w:rsidRPr="002603A1">
        <w:t>a rodzicami</w:t>
      </w:r>
      <w:r>
        <w:t>.</w:t>
      </w:r>
    </w:p>
    <w:p w:rsidR="001D1691" w:rsidRDefault="001D1691" w:rsidP="001D1691">
      <w:pPr>
        <w:autoSpaceDE w:val="0"/>
        <w:autoSpaceDN w:val="0"/>
        <w:adjustRightInd w:val="0"/>
        <w:jc w:val="both"/>
      </w:pPr>
      <w:r>
        <w:t xml:space="preserve">W ślad za art. 39a ustawy Prawo oświatowe, </w:t>
      </w:r>
      <w:r w:rsidRPr="002603A1">
        <w:t xml:space="preserve">średnią cenę jednostki paliwa w gminie określa na każdy rok szkolny rada </w:t>
      </w:r>
      <w:r>
        <w:t>miejska</w:t>
      </w:r>
      <w:r w:rsidRPr="002603A1">
        <w:t xml:space="preserve">, w drodze uchwały, uwzględniając ceny jednostki paliwa </w:t>
      </w:r>
      <w:r>
        <w:br/>
      </w:r>
      <w:r w:rsidRPr="002603A1">
        <w:t>w gminie</w:t>
      </w:r>
      <w:r>
        <w:t xml:space="preserve">. Na terenie gminy Kamieniec Ząbkowicki funkcjonuje jedna prywatna stacja paliw. Stacja ta nie prowadzi sprzedaży wszystkich paliw, dlatego więc podjęto analizę cen paliw </w:t>
      </w:r>
      <w:r>
        <w:br/>
        <w:t xml:space="preserve">w stosunku do średnich cen paliw w Polsce w województwie dolnośląskim w okresie lipiec 2020 do czerwiec 2021 roku. Analizując dane o średnich cenach paliwa w Polsce odniesiono się do danych zawartych na portalu internetowym </w:t>
      </w:r>
      <w:r w:rsidRPr="00C0128D">
        <w:t>autocentrum.pl</w:t>
      </w:r>
      <w:r>
        <w:t>. W oparciu o powołane dane dokonano uśrednienia cen paliw, celem określenia średniej ceny jednostki paliwa w gminie Kamieniec Ząbkowicki.</w:t>
      </w:r>
    </w:p>
    <w:p w:rsidR="001D1691" w:rsidRDefault="001D1691" w:rsidP="001D1691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Mając na względzie powyższe, podjęcie niniejszej uchwały należy uznać za celowe </w:t>
      </w:r>
      <w:r>
        <w:br/>
        <w:t>i uzasadnione.</w:t>
      </w: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Pr="00470E0A" w:rsidRDefault="001D1691" w:rsidP="001D1691">
      <w:pPr>
        <w:autoSpaceDE w:val="0"/>
        <w:autoSpaceDN w:val="0"/>
        <w:adjustRightInd w:val="0"/>
        <w:jc w:val="right"/>
        <w:rPr>
          <w:color w:val="000000"/>
        </w:rPr>
      </w:pPr>
    </w:p>
    <w:p w:rsidR="001D1691" w:rsidRDefault="001D1691" w:rsidP="001D1691"/>
    <w:p w:rsidR="001D1691" w:rsidRDefault="001D1691" w:rsidP="001D1691"/>
    <w:p w:rsidR="001D1691" w:rsidRDefault="001D1691" w:rsidP="001D1691"/>
    <w:p w:rsidR="001D1691" w:rsidRDefault="001D1691" w:rsidP="001D1691"/>
    <w:p w:rsidR="001D1691" w:rsidRDefault="001D1691" w:rsidP="001D1691"/>
    <w:p w:rsidR="001D1691" w:rsidRDefault="001D1691" w:rsidP="001D1691"/>
    <w:p w:rsidR="001D1691" w:rsidRDefault="001D1691" w:rsidP="001D1691"/>
    <w:p w:rsidR="001D1691" w:rsidRDefault="001D1691" w:rsidP="001D1691"/>
    <w:p w:rsidR="001D1691" w:rsidRDefault="001D1691" w:rsidP="001D1691">
      <w:pPr>
        <w:jc w:val="center"/>
      </w:pPr>
    </w:p>
    <w:p w:rsidR="001D1691" w:rsidRPr="00EE64F3" w:rsidRDefault="001D1691" w:rsidP="001D1691">
      <w:pPr>
        <w:jc w:val="center"/>
      </w:pPr>
    </w:p>
    <w:tbl>
      <w:tblPr>
        <w:tblW w:w="6663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1134"/>
        <w:gridCol w:w="142"/>
        <w:gridCol w:w="18"/>
        <w:gridCol w:w="1399"/>
        <w:gridCol w:w="1418"/>
      </w:tblGrid>
      <w:tr w:rsidR="001D1691" w:rsidRPr="00EA6679" w:rsidTr="0075701D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91" w:rsidRPr="00EA6679" w:rsidRDefault="001D1691" w:rsidP="0075701D">
            <w:pPr>
              <w:rPr>
                <w:color w:val="000000"/>
              </w:rPr>
            </w:pPr>
            <w:r w:rsidRPr="00EA6679">
              <w:rPr>
                <w:color w:val="000000"/>
              </w:rPr>
              <w:t xml:space="preserve">Tabela nr </w:t>
            </w:r>
            <w:r>
              <w:rPr>
                <w:color w:val="000000"/>
              </w:rPr>
              <w:t>1</w:t>
            </w:r>
            <w:r w:rsidRPr="00EE64F3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91" w:rsidRPr="00EA6679" w:rsidRDefault="001D1691" w:rsidP="0075701D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91" w:rsidRPr="00EA6679" w:rsidRDefault="001D1691" w:rsidP="0075701D">
            <w:pPr>
              <w:jc w:val="center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91" w:rsidRPr="00EA6679" w:rsidRDefault="001D1691" w:rsidP="0075701D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691" w:rsidRPr="00EA6679" w:rsidRDefault="001D1691" w:rsidP="0075701D">
            <w:pPr>
              <w:jc w:val="center"/>
            </w:pPr>
          </w:p>
        </w:tc>
      </w:tr>
      <w:tr w:rsidR="001D1691" w:rsidRPr="00EA6679" w:rsidTr="0075701D">
        <w:trPr>
          <w:trHeight w:val="300"/>
        </w:trPr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Uśrednione ceny paliw (w okresie 07.2020-06.2021) w zł</w:t>
            </w:r>
          </w:p>
        </w:tc>
      </w:tr>
      <w:tr w:rsidR="001D1691" w:rsidRPr="00EA6679" w:rsidTr="0075701D">
        <w:trPr>
          <w:trHeight w:val="3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rodzaj paliwa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Pb 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91" w:rsidRPr="004F55A9" w:rsidRDefault="001D1691" w:rsidP="0075701D">
            <w:pPr>
              <w:ind w:left="-210"/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LPG</w:t>
            </w:r>
          </w:p>
        </w:tc>
      </w:tr>
      <w:tr w:rsidR="001D1691" w:rsidRPr="00EA6679" w:rsidTr="0075701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t>średnia cena w Polsce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691" w:rsidRPr="004F55A9" w:rsidRDefault="001D1691" w:rsidP="0075701D">
            <w:pPr>
              <w:jc w:val="center"/>
            </w:pPr>
            <w:r w:rsidRPr="004F55A9">
              <w:t>4,78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691" w:rsidRPr="004F55A9" w:rsidRDefault="001D1691" w:rsidP="0075701D">
            <w:pPr>
              <w:jc w:val="center"/>
            </w:pPr>
            <w:r w:rsidRPr="004F55A9">
              <w:t>4,67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691" w:rsidRPr="004F55A9" w:rsidRDefault="001D1691" w:rsidP="0075701D">
            <w:pPr>
              <w:jc w:val="center"/>
            </w:pPr>
            <w:r w:rsidRPr="004F55A9">
              <w:t>2,19</w:t>
            </w:r>
          </w:p>
        </w:tc>
      </w:tr>
      <w:tr w:rsidR="001D1691" w:rsidRPr="00EA6679" w:rsidTr="0075701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średnia cena w województwie dolnośląskim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691" w:rsidRPr="004F55A9" w:rsidRDefault="001D1691" w:rsidP="0075701D">
            <w:pPr>
              <w:jc w:val="center"/>
            </w:pPr>
            <w:r w:rsidRPr="004F55A9">
              <w:t>4,79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691" w:rsidRPr="004F55A9" w:rsidRDefault="001D1691" w:rsidP="0075701D">
            <w:pPr>
              <w:jc w:val="center"/>
            </w:pPr>
            <w:r w:rsidRPr="004F55A9">
              <w:t>4,67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691" w:rsidRPr="004F55A9" w:rsidRDefault="001D1691" w:rsidP="0075701D">
            <w:pPr>
              <w:jc w:val="center"/>
            </w:pPr>
            <w:r w:rsidRPr="004F55A9">
              <w:t>2,24</w:t>
            </w:r>
          </w:p>
        </w:tc>
      </w:tr>
      <w:tr w:rsidR="001D1691" w:rsidRPr="00EA6679" w:rsidTr="0075701D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średnia cena w Kamieńcu Ząbkowickim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4,90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brak</w:t>
            </w:r>
          </w:p>
        </w:tc>
      </w:tr>
      <w:tr w:rsidR="001D1691" w:rsidRPr="00EA6679" w:rsidTr="0075701D">
        <w:trPr>
          <w:trHeight w:val="8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średnia cena paliwa dla Gminy Kamieniec Ząbkowicki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691" w:rsidRPr="004F55A9" w:rsidRDefault="001D1691" w:rsidP="0075701D">
            <w:pPr>
              <w:jc w:val="center"/>
              <w:rPr>
                <w:b/>
                <w:bCs/>
                <w:color w:val="000000"/>
              </w:rPr>
            </w:pPr>
            <w:r w:rsidRPr="004F55A9">
              <w:rPr>
                <w:b/>
                <w:bCs/>
                <w:color w:val="000000"/>
              </w:rPr>
              <w:t>4,82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b/>
                <w:bCs/>
                <w:color w:val="000000"/>
              </w:rPr>
            </w:pPr>
            <w:r w:rsidRPr="004F55A9">
              <w:rPr>
                <w:b/>
                <w:bCs/>
                <w:color w:val="000000"/>
              </w:rPr>
              <w:t>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691" w:rsidRPr="004F55A9" w:rsidRDefault="001D1691" w:rsidP="0075701D">
            <w:pPr>
              <w:jc w:val="center"/>
              <w:rPr>
                <w:b/>
                <w:bCs/>
                <w:color w:val="000000"/>
              </w:rPr>
            </w:pPr>
            <w:r w:rsidRPr="004F55A9">
              <w:rPr>
                <w:b/>
                <w:bCs/>
                <w:color w:val="000000"/>
              </w:rPr>
              <w:t>2,22</w:t>
            </w:r>
          </w:p>
        </w:tc>
      </w:tr>
    </w:tbl>
    <w:p w:rsidR="001D1691" w:rsidRPr="00EE64F3" w:rsidRDefault="001D1691" w:rsidP="001D1691"/>
    <w:p w:rsidR="001D1691" w:rsidRPr="00EE64F3" w:rsidRDefault="001D1691" w:rsidP="001D1691"/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p w:rsidR="001D1691" w:rsidRDefault="001D1691" w:rsidP="001D1691">
      <w:pPr>
        <w:spacing w:after="240"/>
      </w:pPr>
    </w:p>
    <w:sectPr w:rsidR="001D1691" w:rsidSect="008324C1">
      <w:pgSz w:w="11900" w:h="16840"/>
      <w:pgMar w:top="787" w:right="860" w:bottom="1440" w:left="1020" w:header="0" w:footer="0" w:gutter="0"/>
      <w:cols w:space="0" w:equalWidth="0">
        <w:col w:w="100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063" w:rsidRDefault="006A0063" w:rsidP="00B24022">
      <w:r>
        <w:separator/>
      </w:r>
    </w:p>
  </w:endnote>
  <w:endnote w:type="continuationSeparator" w:id="0">
    <w:p w:rsidR="006A0063" w:rsidRDefault="006A0063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063" w:rsidRDefault="006A0063" w:rsidP="00B24022">
      <w:r>
        <w:separator/>
      </w:r>
    </w:p>
  </w:footnote>
  <w:footnote w:type="continuationSeparator" w:id="0">
    <w:p w:rsidR="006A0063" w:rsidRDefault="006A0063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103A242B"/>
    <w:multiLevelType w:val="hybridMultilevel"/>
    <w:tmpl w:val="8C4E33A0"/>
    <w:lvl w:ilvl="0" w:tplc="D7601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4503D"/>
    <w:multiLevelType w:val="hybridMultilevel"/>
    <w:tmpl w:val="D71E1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26CB7"/>
    <w:multiLevelType w:val="hybridMultilevel"/>
    <w:tmpl w:val="19BC9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819FD"/>
    <w:multiLevelType w:val="hybridMultilevel"/>
    <w:tmpl w:val="8AB82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AC02505"/>
    <w:multiLevelType w:val="hybridMultilevel"/>
    <w:tmpl w:val="E3AA91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4652E7"/>
    <w:multiLevelType w:val="hybridMultilevel"/>
    <w:tmpl w:val="524A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F649C"/>
    <w:multiLevelType w:val="hybridMultilevel"/>
    <w:tmpl w:val="E32CB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B268A1"/>
    <w:multiLevelType w:val="hybridMultilevel"/>
    <w:tmpl w:val="69926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A13973"/>
    <w:multiLevelType w:val="hybridMultilevel"/>
    <w:tmpl w:val="3A5EA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65A46"/>
    <w:multiLevelType w:val="hybridMultilevel"/>
    <w:tmpl w:val="D8469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547E6"/>
    <w:multiLevelType w:val="hybridMultilevel"/>
    <w:tmpl w:val="901637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2B30F3"/>
    <w:multiLevelType w:val="hybridMultilevel"/>
    <w:tmpl w:val="229AE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3A5018"/>
    <w:multiLevelType w:val="hybridMultilevel"/>
    <w:tmpl w:val="EF66D7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7"/>
  </w:num>
  <w:num w:numId="5">
    <w:abstractNumId w:val="10"/>
  </w:num>
  <w:num w:numId="6">
    <w:abstractNumId w:val="8"/>
  </w:num>
  <w:num w:numId="7">
    <w:abstractNumId w:val="15"/>
  </w:num>
  <w:num w:numId="8">
    <w:abstractNumId w:val="11"/>
  </w:num>
  <w:num w:numId="9">
    <w:abstractNumId w:val="12"/>
  </w:num>
  <w:num w:numId="10">
    <w:abstractNumId w:val="18"/>
  </w:num>
  <w:num w:numId="11">
    <w:abstractNumId w:val="9"/>
  </w:num>
  <w:num w:numId="12">
    <w:abstractNumId w:val="17"/>
  </w:num>
  <w:num w:numId="13">
    <w:abstractNumId w:val="5"/>
  </w:num>
  <w:num w:numId="14">
    <w:abstractNumId w:val="16"/>
  </w:num>
  <w:num w:numId="15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73E9D"/>
    <w:rsid w:val="00073F53"/>
    <w:rsid w:val="000C0912"/>
    <w:rsid w:val="0013004F"/>
    <w:rsid w:val="001D1691"/>
    <w:rsid w:val="00267AD8"/>
    <w:rsid w:val="00290A44"/>
    <w:rsid w:val="002A2E9C"/>
    <w:rsid w:val="002C41ED"/>
    <w:rsid w:val="00302603"/>
    <w:rsid w:val="00314E4D"/>
    <w:rsid w:val="003560AD"/>
    <w:rsid w:val="003D0B08"/>
    <w:rsid w:val="003E64BC"/>
    <w:rsid w:val="00424731"/>
    <w:rsid w:val="00424A07"/>
    <w:rsid w:val="00466857"/>
    <w:rsid w:val="0047777E"/>
    <w:rsid w:val="004976A8"/>
    <w:rsid w:val="004A76EA"/>
    <w:rsid w:val="00526ECB"/>
    <w:rsid w:val="005A41C5"/>
    <w:rsid w:val="00663B76"/>
    <w:rsid w:val="00665516"/>
    <w:rsid w:val="00670081"/>
    <w:rsid w:val="006725D5"/>
    <w:rsid w:val="006A0063"/>
    <w:rsid w:val="00725B79"/>
    <w:rsid w:val="0075437F"/>
    <w:rsid w:val="0076701F"/>
    <w:rsid w:val="00781AC7"/>
    <w:rsid w:val="007C7E8C"/>
    <w:rsid w:val="007D00F2"/>
    <w:rsid w:val="007E56B4"/>
    <w:rsid w:val="00821B7A"/>
    <w:rsid w:val="008324C1"/>
    <w:rsid w:val="008479DF"/>
    <w:rsid w:val="00896BEB"/>
    <w:rsid w:val="008A0A78"/>
    <w:rsid w:val="008A532A"/>
    <w:rsid w:val="009564AD"/>
    <w:rsid w:val="00A37654"/>
    <w:rsid w:val="00AC737F"/>
    <w:rsid w:val="00AE29FF"/>
    <w:rsid w:val="00B112DE"/>
    <w:rsid w:val="00B24022"/>
    <w:rsid w:val="00C172F4"/>
    <w:rsid w:val="00C459E2"/>
    <w:rsid w:val="00C87734"/>
    <w:rsid w:val="00C95A1F"/>
    <w:rsid w:val="00CB15CF"/>
    <w:rsid w:val="00D0339B"/>
    <w:rsid w:val="00D26419"/>
    <w:rsid w:val="00D6023E"/>
    <w:rsid w:val="00D900C3"/>
    <w:rsid w:val="00DD372B"/>
    <w:rsid w:val="00DF4C13"/>
    <w:rsid w:val="00E31976"/>
    <w:rsid w:val="00E51B4B"/>
    <w:rsid w:val="00E5660A"/>
    <w:rsid w:val="00E5746F"/>
    <w:rsid w:val="00F367FB"/>
    <w:rsid w:val="00F474B1"/>
    <w:rsid w:val="00FA27F0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uiPriority w:val="99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99"/>
    <w:qFormat/>
    <w:rsid w:val="00317FBF"/>
    <w:rPr>
      <w:sz w:val="24"/>
      <w:lang w:eastAsia="en-US"/>
    </w:rPr>
  </w:style>
  <w:style w:type="paragraph" w:customStyle="1" w:styleId="Default">
    <w:name w:val="Default"/>
    <w:uiPriority w:val="99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13</Pages>
  <Words>2815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19667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27</cp:revision>
  <cp:lastPrinted>2021-07-26T12:47:00Z</cp:lastPrinted>
  <dcterms:created xsi:type="dcterms:W3CDTF">2018-11-16T10:49:00Z</dcterms:created>
  <dcterms:modified xsi:type="dcterms:W3CDTF">2021-07-26T13:03:00Z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