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009926C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A3121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20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0F6A4D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9308000" w14:textId="44FE878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obrębie K-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jako działka nr </w:t>
      </w:r>
      <w:r w:rsidR="00A3121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11/1</w:t>
      </w:r>
    </w:p>
    <w:p w14:paraId="54AB73C3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prawem służebności przesyłu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(t.j.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457A57E2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Wyraża zgodę na obciążenie nieruchomości, stanowiącej własność Gminy Konstantynów Łódzki, położonej w Konstantynowie Łódzkim, oznaczonej w ewidencji gruntów w obrębie K-1 jako działka nr </w:t>
      </w:r>
      <w:r w:rsidR="00A3121B">
        <w:rPr>
          <w:rFonts w:ascii="Arial" w:eastAsiaTheme="majorEastAsia" w:hAnsi="Arial" w:cs="Arial"/>
          <w:bCs/>
          <w:color w:val="000000" w:themeColor="text1"/>
        </w:rPr>
        <w:t>11/1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</w:t>
      </w:r>
      <w:r w:rsidR="00A3121B">
        <w:rPr>
          <w:rFonts w:ascii="Arial" w:eastAsiaTheme="majorEastAsia" w:hAnsi="Arial" w:cs="Arial"/>
          <w:bCs/>
          <w:color w:val="000000" w:themeColor="text1"/>
        </w:rPr>
        <w:t>1140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dla której prowadzona jest w Sądzie Rejonowym w Pabianicach V Wydziale Ksiąg Wieczystych księga wieczysta nr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LD1P/00063981/6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, ograniczonym prawem rzeczowym – służebnością przesyłu.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5E920388" w14:textId="1BA75C98" w:rsidR="00A3121B" w:rsidRPr="00A3121B" w:rsidRDefault="00DD4D92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budowy kabla energetycznego niskiego napięcia (nN) YAKXS 4x120 mm2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(milimetr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 wraz ze złączem pomiarowym ZK4+ZP2 na działce nr 11/1, obręb K-1 z obowiązkiem przywrócenia terenu do stanu poprzedniego. Łączna powierzchnia pasa służebności wynosi 67,00 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(po 0,50 m po każdej ze stron od osi kabla energetycznego), a długość pasa eksploatacyjnego 67,00 m,</w:t>
      </w:r>
    </w:p>
    <w:p w14:paraId="56845E81" w14:textId="229E6461" w:rsidR="00DD4D92" w:rsidRPr="00DD4D92" w:rsidRDefault="00A3121B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3121B">
        <w:rPr>
          <w:rFonts w:ascii="Arial" w:eastAsiaTheme="majorEastAsia" w:hAnsi="Arial" w:cs="Arial"/>
          <w:bCs/>
          <w:color w:val="000000" w:themeColor="text1"/>
        </w:rPr>
        <w:t xml:space="preserve">b) dostępu pracowników PGE Dystrybucja S.A. oraz osób reprezentujących jej prawa, wjazdu środków transportu w zakresie niezbędnym do eksploatacji tejże infrastruktury, konserwacji, </w:t>
      </w:r>
      <w:r w:rsidRPr="00A3121B">
        <w:rPr>
          <w:rFonts w:ascii="Arial" w:eastAsiaTheme="majorEastAsia" w:hAnsi="Arial" w:cs="Arial"/>
          <w:bCs/>
          <w:color w:val="000000" w:themeColor="text1"/>
        </w:rPr>
        <w:lastRenderedPageBreak/>
        <w:t>napraw, remontów oraz usuwania awarii kabla energetycznego niskiego napięcia (nN) YAKXS 4x120 mm2 wraz ze złączem pomiarowym ZK4+ZP2,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5DCCC5D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2 147,58 zł brutto (słownie: dwa tysiące sto czterdzieści siedem złotych 58/100)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6CA8FBB0" w:rsidR="00A961DC" w:rsidRDefault="00A3121B" w:rsidP="001155AB">
      <w:pPr>
        <w:spacing w:line="360" w:lineRule="auto"/>
        <w:rPr>
          <w:rFonts w:ascii="Arial" w:hAnsi="Arial" w:cs="Arial"/>
        </w:rPr>
      </w:pPr>
      <w:r w:rsidRPr="00A3121B">
        <w:rPr>
          <w:rFonts w:ascii="Arial" w:hAnsi="Arial" w:cs="Arial"/>
          <w:noProof/>
        </w:rPr>
        <w:lastRenderedPageBreak/>
        <w:drawing>
          <wp:inline distT="0" distB="0" distL="0" distR="0" wp14:anchorId="37D8130F" wp14:editId="66938000">
            <wp:extent cx="13499465" cy="9538335"/>
            <wp:effectExtent l="0" t="0" r="698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0F6A4D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20/2023</dc:title>
  <dc:creator/>
  <cp:lastModifiedBy/>
  <cp:revision>1</cp:revision>
  <dcterms:created xsi:type="dcterms:W3CDTF">2023-02-15T08:34:00Z</dcterms:created>
  <dcterms:modified xsi:type="dcterms:W3CDTF">2023-02-15T09:23:00Z</dcterms:modified>
</cp:coreProperties>
</file>