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97228C" w14:textId="77777777" w:rsidR="00DF5344" w:rsidRDefault="00BF491D">
      <w:pPr>
        <w:spacing w:after="0" w:line="240" w:lineRule="auto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[TREŚĆ INFORMACJI]</w:t>
      </w:r>
    </w:p>
    <w:p w14:paraId="6F14FD8B" w14:textId="77777777" w:rsidR="00DF5344" w:rsidRDefault="00DF5344">
      <w:pPr>
        <w:spacing w:after="0" w:line="240" w:lineRule="auto"/>
        <w:rPr>
          <w:sz w:val="24"/>
          <w:szCs w:val="24"/>
        </w:rPr>
      </w:pPr>
      <w:bookmarkStart w:id="1" w:name="_heading=h.gjdgxs" w:colFirst="0" w:colLast="0"/>
      <w:bookmarkEnd w:id="1"/>
    </w:p>
    <w:p w14:paraId="134FAF8A" w14:textId="77777777" w:rsidR="00DF5344" w:rsidRDefault="00BF491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Temat: </w:t>
      </w:r>
      <w:r>
        <w:rPr>
          <w:b/>
          <w:sz w:val="24"/>
          <w:szCs w:val="24"/>
        </w:rPr>
        <w:t>Obywatelski monitoring funduszy europejskich - nie przegap!</w:t>
      </w:r>
    </w:p>
    <w:p w14:paraId="730E064A" w14:textId="77777777" w:rsidR="00DF5344" w:rsidRDefault="00BF491D">
      <w:pPr>
        <w:spacing w:after="0" w:line="240" w:lineRule="auto"/>
        <w:ind w:firstLine="141"/>
        <w:jc w:val="both"/>
        <w:rPr>
          <w:b/>
          <w:sz w:val="24"/>
          <w:szCs w:val="24"/>
        </w:rPr>
      </w:pPr>
      <w:r>
        <w:rPr>
          <w:sz w:val="24"/>
          <w:szCs w:val="24"/>
        </w:rPr>
        <w:br/>
      </w:r>
      <w:r>
        <w:rPr>
          <w:b/>
          <w:sz w:val="24"/>
          <w:szCs w:val="24"/>
        </w:rPr>
        <w:t xml:space="preserve">Do Polski już wkrótce powinno trafić ponad 76 mld. euro z budżetu Unii Europejskiej na lata 2021-2027. Ogólnopolska Federacja Organizacji Pozarządowych (OFOP) apeluje </w:t>
      </w:r>
      <w:r>
        <w:rPr>
          <w:b/>
          <w:sz w:val="24"/>
          <w:szCs w:val="24"/>
        </w:rPr>
        <w:t>do organizacji w całym kraju o mobilizację oraz do włączenia się w pracę komitetów monitorujących programy finansowane z funduszy europejskich.</w:t>
      </w:r>
    </w:p>
    <w:p w14:paraId="7C1437D2" w14:textId="77777777" w:rsidR="00DF5344" w:rsidRDefault="00DF5344">
      <w:pPr>
        <w:spacing w:after="0" w:line="240" w:lineRule="auto"/>
        <w:jc w:val="both"/>
        <w:rPr>
          <w:b/>
          <w:sz w:val="24"/>
          <w:szCs w:val="24"/>
          <w:highlight w:val="yellow"/>
        </w:rPr>
      </w:pPr>
    </w:p>
    <w:p w14:paraId="2EAE65B5" w14:textId="60315609" w:rsidR="00DF5344" w:rsidRDefault="00BF491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Zgodnie z Umową Partnerstwa określającą strategię wykorzystania funduszy europejskich </w:t>
      </w:r>
      <w:r w:rsidR="00A43C1E">
        <w:rPr>
          <w:sz w:val="24"/>
          <w:szCs w:val="24"/>
        </w:rPr>
        <w:br/>
      </w:r>
      <w:r>
        <w:rPr>
          <w:sz w:val="24"/>
          <w:szCs w:val="24"/>
        </w:rPr>
        <w:t>w Polsce na lata 2021-20</w:t>
      </w:r>
      <w:r>
        <w:rPr>
          <w:sz w:val="24"/>
          <w:szCs w:val="24"/>
        </w:rPr>
        <w:t>27 będziemy mieć do dyspozycji w tej perspektywie unijnej około 76 miliardów euro. To standardowy 7-letni budżet unijny, z którego Polska skorzysta już kolejny raz, inny aniżeli fundusze zaplanowane na Krajowy Plan Odbudowy. Projekt Umowy Partnerstwa zosta</w:t>
      </w:r>
      <w:r>
        <w:rPr>
          <w:sz w:val="24"/>
          <w:szCs w:val="24"/>
        </w:rPr>
        <w:t xml:space="preserve">ł przedłożony do publicznych konsultacji w połowie stycznia 2021 r. -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>w wyniku licznych uwag, przeprowadzonych konsultacji i zrealizowanych wysłuchań publicznych ostatecznie dokument został zatwierdzony przez rząd RP oraz Komisję Europejską oraz opublikow</w:t>
      </w:r>
      <w:r>
        <w:rPr>
          <w:sz w:val="24"/>
          <w:szCs w:val="24"/>
        </w:rPr>
        <w:t xml:space="preserve">any w lipcu 2022 r. </w:t>
      </w:r>
    </w:p>
    <w:p w14:paraId="4101B230" w14:textId="77777777" w:rsidR="008B34EA" w:rsidRDefault="008B34EA">
      <w:pPr>
        <w:spacing w:after="0" w:line="240" w:lineRule="auto"/>
        <w:jc w:val="both"/>
        <w:rPr>
          <w:sz w:val="24"/>
          <w:szCs w:val="24"/>
        </w:rPr>
      </w:pPr>
    </w:p>
    <w:p w14:paraId="73809250" w14:textId="69310428" w:rsidR="00DF5344" w:rsidRDefault="00BF491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Fundusze europejskie będą wdrażane w ramach specjalnie opracowanych programów, w tym międzynarodowych i transgranicznych, a w Polsce dodatkowo zgodnie z Umową Partnerstwa w ramach 16 regionalnych programów obsługiwanych przez urzędy m</w:t>
      </w:r>
      <w:r>
        <w:rPr>
          <w:sz w:val="24"/>
          <w:szCs w:val="24"/>
        </w:rPr>
        <w:t xml:space="preserve">arszałkowskie oraz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>8 tematycznych programów krajowych obsługiwanych przez stronę rządową:</w:t>
      </w:r>
    </w:p>
    <w:p w14:paraId="267A04CB" w14:textId="77777777" w:rsidR="00DF5344" w:rsidRDefault="00BF491D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Program Fundusze Europejskie na Infrastrukturę, Klimat, Środowisko 2021-2027 (FEnIKS) – budżet ok. 135 mld zł</w:t>
      </w:r>
    </w:p>
    <w:p w14:paraId="3216B1CB" w14:textId="77777777" w:rsidR="00DF5344" w:rsidRDefault="00BF491D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Program Fundusze Europejskie dla Rozwoju Społecznego 20</w:t>
      </w:r>
      <w:r>
        <w:rPr>
          <w:sz w:val="24"/>
          <w:szCs w:val="24"/>
        </w:rPr>
        <w:t>21-2027 (FERS) – budżet ok. 21,9 mld zł</w:t>
      </w:r>
    </w:p>
    <w:p w14:paraId="2BAF8E9E" w14:textId="77777777" w:rsidR="00DF5344" w:rsidRDefault="00BF491D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Program Fundusze Europejskie dla Nowoczesnej Gospodarki 2021-2027 (FENG) – budżet ok. 45,9 mld zł</w:t>
      </w:r>
    </w:p>
    <w:p w14:paraId="08FEFD06" w14:textId="77777777" w:rsidR="00DF5344" w:rsidRDefault="00BF491D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Program Fundusze Europejskie na Rozwój Cyfrowy 2021-2027 (FERC) – budżet ok. 11,4 mld zł</w:t>
      </w:r>
    </w:p>
    <w:p w14:paraId="393D7671" w14:textId="18796C11" w:rsidR="00DF5344" w:rsidRDefault="00BF491D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Program Fundusze Europejskie </w:t>
      </w:r>
      <w:r>
        <w:rPr>
          <w:sz w:val="24"/>
          <w:szCs w:val="24"/>
        </w:rPr>
        <w:t xml:space="preserve">dla Polski Wschodniej 2021-2027 – budżet ok. 14,3 mld zł (obszar: lubelskie, podkarpackie, podlaskie, świętokrzyskie, warmińsko-mazurskie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>i częściowo mazowieckie)</w:t>
      </w:r>
    </w:p>
    <w:p w14:paraId="05F5ADC9" w14:textId="77777777" w:rsidR="00DF5344" w:rsidRDefault="00BF491D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Program Fundusze Europejskie dla Rybactwa 2021-2027 – budżet ok. 3,5 mld zł</w:t>
      </w:r>
    </w:p>
    <w:p w14:paraId="3D18BE9A" w14:textId="77777777" w:rsidR="00DF5344" w:rsidRDefault="00BF491D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Program Fundusze</w:t>
      </w:r>
      <w:r>
        <w:rPr>
          <w:sz w:val="24"/>
          <w:szCs w:val="24"/>
        </w:rPr>
        <w:t xml:space="preserve"> Europejskie Pomoc Żywnościowa 2021-2027 (FEPŻ) – budżet ok. 2,7 mld zł</w:t>
      </w:r>
    </w:p>
    <w:p w14:paraId="7954F7D4" w14:textId="77777777" w:rsidR="00DF5344" w:rsidRDefault="00BF491D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Program Pomoc Techniczna dla Funduszy Europejskich 2021-2027 (PTFE) – budżet ok. 2,5 mld zł</w:t>
      </w:r>
    </w:p>
    <w:p w14:paraId="4BB470B5" w14:textId="77777777" w:rsidR="00DF5344" w:rsidRDefault="00DF5344">
      <w:pPr>
        <w:spacing w:after="0" w:line="240" w:lineRule="auto"/>
        <w:jc w:val="both"/>
        <w:rPr>
          <w:b/>
          <w:sz w:val="24"/>
          <w:szCs w:val="24"/>
        </w:rPr>
      </w:pPr>
    </w:p>
    <w:p w14:paraId="6454B0C9" w14:textId="77777777" w:rsidR="00DF5344" w:rsidRDefault="00BF491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Realizacja przedsięwzięć (projektów), zarówno w trybie konkurencyjnym (konkursowym), jak i </w:t>
      </w:r>
      <w:r>
        <w:rPr>
          <w:sz w:val="24"/>
          <w:szCs w:val="24"/>
        </w:rPr>
        <w:t xml:space="preserve">w tzw. niekonkurencyjnym, będzie możliwa dopiero po zatwierdzeniu tych przez Komisję Europejską oraz </w:t>
      </w:r>
      <w:r>
        <w:rPr>
          <w:sz w:val="24"/>
          <w:szCs w:val="24"/>
          <w:u w:val="single"/>
        </w:rPr>
        <w:t>powołaniu komitetów monitorujących</w:t>
      </w:r>
      <w:r>
        <w:rPr>
          <w:sz w:val="24"/>
          <w:szCs w:val="24"/>
        </w:rPr>
        <w:t xml:space="preserve"> dla każdego programu. Komitety te oprócz zatwierdzenia kryteriów i metodyki wyboru projektów będą weryfikować spełnienie</w:t>
      </w:r>
      <w:r>
        <w:rPr>
          <w:sz w:val="24"/>
          <w:szCs w:val="24"/>
        </w:rPr>
        <w:t xml:space="preserve"> warunków oraz tzw. zasad horyzontalnych. W skład każdego komitetu monitorującego wchodzić będą: </w:t>
      </w:r>
    </w:p>
    <w:p w14:paraId="200EF17A" w14:textId="77777777" w:rsidR="00DF5344" w:rsidRDefault="00BF491D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przedstawiciele władz krajowych i regionalnych, administracji, organizacji zrzeszających samorządy, sektora nauki,</w:t>
      </w:r>
    </w:p>
    <w:p w14:paraId="7852A2B8" w14:textId="77777777" w:rsidR="00DF5344" w:rsidRDefault="00BF491D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partnerzy społeczni (związki zawodowe i org</w:t>
      </w:r>
      <w:r>
        <w:rPr>
          <w:sz w:val="24"/>
          <w:szCs w:val="24"/>
        </w:rPr>
        <w:t>anizacje pracodawców), biznesu oraz przedsiębiorczości społecznej</w:t>
      </w:r>
    </w:p>
    <w:p w14:paraId="15395F0A" w14:textId="0533937C" w:rsidR="00DF5344" w:rsidRDefault="00BF491D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min. 9 podmiotów społeczeństwa obywatelskiego, tj. organizacji pozarządowych,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>a także ich federacji, związków.</w:t>
      </w:r>
    </w:p>
    <w:p w14:paraId="54FFAF37" w14:textId="77777777" w:rsidR="00DF5344" w:rsidRDefault="00DF5344">
      <w:pPr>
        <w:spacing w:after="0" w:line="240" w:lineRule="auto"/>
        <w:jc w:val="both"/>
        <w:rPr>
          <w:sz w:val="24"/>
          <w:szCs w:val="24"/>
        </w:rPr>
      </w:pPr>
    </w:p>
    <w:p w14:paraId="6FF1ADBD" w14:textId="26AD9E37" w:rsidR="00DF5344" w:rsidRDefault="00BF491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Komitety monitorujące programy będą odgrywać dużo większą rolę aniżeli w popr</w:t>
      </w:r>
      <w:r>
        <w:rPr>
          <w:sz w:val="24"/>
          <w:szCs w:val="24"/>
        </w:rPr>
        <w:t xml:space="preserve">zednich perspektywach UE z kilku powodów. Otóż, kluczowe będzie zderzenie się z ambitnymi celami klimatycznymi wynikającymi z Europejskiego Zielonego Ładu wskazującym celem jest </w:t>
      </w:r>
      <w:r>
        <w:rPr>
          <w:i/>
          <w:sz w:val="24"/>
          <w:szCs w:val="24"/>
        </w:rPr>
        <w:t>Unia Europejska jako obszar neutralny klimatycznie, społeczeństwo sprawiedliwe</w:t>
      </w:r>
      <w:r>
        <w:rPr>
          <w:i/>
          <w:sz w:val="24"/>
          <w:szCs w:val="24"/>
        </w:rPr>
        <w:t xml:space="preserve"> i dostatnie, gospodarka nowoczesna i ekologiczna</w:t>
      </w:r>
      <w:r>
        <w:rPr>
          <w:sz w:val="24"/>
          <w:szCs w:val="24"/>
        </w:rPr>
        <w:t xml:space="preserve">, aby to osiągnąć opracowano cały pakiet regulacji, elementów oraz zasad, w tym DNSH (ang. Do No Significant Harm) –„nie wyrządzaj </w:t>
      </w:r>
      <w:r>
        <w:rPr>
          <w:sz w:val="24"/>
          <w:szCs w:val="24"/>
        </w:rPr>
        <w:lastRenderedPageBreak/>
        <w:t>poważnej szkody”. Ponadto zgodnie z art. 15 rozporządzenia ogólnego z czerwc</w:t>
      </w:r>
      <w:r>
        <w:rPr>
          <w:sz w:val="24"/>
          <w:szCs w:val="24"/>
        </w:rPr>
        <w:t>a 2021 r. ustanawiającego warunki horyzontalne korzystania z funduszy europejskich wskazano m.in. skuteczne stosowanie i wdrażanie Karty Praw Podstawowych UE, oprócz już wcześniej obowiązujących zasad horyzontalnych, tj. równości kobiet i mężczyzn, dostępn</w:t>
      </w:r>
      <w:r>
        <w:rPr>
          <w:sz w:val="24"/>
          <w:szCs w:val="24"/>
        </w:rPr>
        <w:t xml:space="preserve">ości dla osób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 xml:space="preserve">z niepełnosprawnością, niedyskryminacji oraz zrównoważonego rozwoju. </w:t>
      </w:r>
    </w:p>
    <w:p w14:paraId="25A326EB" w14:textId="77777777" w:rsidR="00DF5344" w:rsidRDefault="00DF5344">
      <w:pPr>
        <w:spacing w:after="0" w:line="240" w:lineRule="auto"/>
        <w:jc w:val="both"/>
        <w:rPr>
          <w:i/>
          <w:sz w:val="24"/>
          <w:szCs w:val="24"/>
        </w:rPr>
      </w:pPr>
    </w:p>
    <w:p w14:paraId="7F18D790" w14:textId="6D9B7739" w:rsidR="00DF5344" w:rsidRDefault="00BF491D">
      <w:pPr>
        <w:spacing w:after="0" w:line="240" w:lineRule="auto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“To czy wspomniane warunki i zasady będą monitorowane zależy w znacznym stopniu od potencjału, roli i zaangażowania zorganizowanego społeczeństwa obywatelskiego. </w:t>
      </w:r>
      <w:r w:rsidR="007A47B2">
        <w:rPr>
          <w:i/>
          <w:sz w:val="24"/>
          <w:szCs w:val="24"/>
        </w:rPr>
        <w:br/>
      </w:r>
      <w:r>
        <w:rPr>
          <w:i/>
          <w:sz w:val="24"/>
          <w:szCs w:val="24"/>
        </w:rPr>
        <w:t xml:space="preserve">W </w:t>
      </w:r>
      <w:r>
        <w:rPr>
          <w:i/>
          <w:sz w:val="24"/>
          <w:szCs w:val="24"/>
        </w:rPr>
        <w:t>komitetach monitorujących muszą być obowiązkowo miejsca dla organizacji pozarządowych zajmujących się monitorowaniem każdej ze wspomnianych zasad horyzontalnych i dba</w:t>
      </w:r>
      <w:r w:rsidR="007A47B2">
        <w:rPr>
          <w:i/>
          <w:sz w:val="24"/>
          <w:szCs w:val="24"/>
        </w:rPr>
        <w:t>jących</w:t>
      </w:r>
      <w:r>
        <w:rPr>
          <w:i/>
          <w:sz w:val="24"/>
          <w:szCs w:val="24"/>
        </w:rPr>
        <w:t xml:space="preserve"> o nasze prawa” </w:t>
      </w:r>
      <w:r>
        <w:rPr>
          <w:sz w:val="24"/>
          <w:szCs w:val="24"/>
        </w:rPr>
        <w:t>- mówi Iwona Janicka, ekspertka Ogólnopolskiej Federacji Organizacji</w:t>
      </w:r>
      <w:r>
        <w:rPr>
          <w:sz w:val="24"/>
          <w:szCs w:val="24"/>
        </w:rPr>
        <w:t xml:space="preserve"> Pozarządowych.</w:t>
      </w:r>
    </w:p>
    <w:p w14:paraId="7712B97A" w14:textId="77777777" w:rsidR="00DF5344" w:rsidRDefault="00DF5344">
      <w:pPr>
        <w:spacing w:after="0" w:line="240" w:lineRule="auto"/>
        <w:jc w:val="both"/>
        <w:rPr>
          <w:sz w:val="24"/>
          <w:szCs w:val="24"/>
        </w:rPr>
      </w:pPr>
    </w:p>
    <w:p w14:paraId="24627B6D" w14:textId="0039BE59" w:rsidR="00DF5344" w:rsidRDefault="00BF491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Dodatkowo w komitetach monitorujących potrzebni będą przedstawiciele/-ki z organizacji, które zajmują się działalnością tematycznie związaną z danymi programami, m.in.: edukacja, włączenie społeczne, rynek pracy, zdrowie, cyfryzacja, gospodarka, sprawiedli</w:t>
      </w:r>
      <w:r>
        <w:rPr>
          <w:sz w:val="24"/>
          <w:szCs w:val="24"/>
        </w:rPr>
        <w:t xml:space="preserve">wa transformacja, infrastruktura i transport, obszary wiejskie, miejskie obszary funkcjonalne, rewitalizacja, kultura i dziedzictwo kulturowe, rybactwo, zdrowa żywność, pomoc żywnościowa dla najuboższych, wzmocnienie potencjału organizacji pozarządowych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>w</w:t>
      </w:r>
      <w:r>
        <w:rPr>
          <w:sz w:val="24"/>
          <w:szCs w:val="24"/>
        </w:rPr>
        <w:t xml:space="preserve"> zakresie kształtowania i realizacji polityk publicznych. </w:t>
      </w:r>
    </w:p>
    <w:p w14:paraId="7125D30B" w14:textId="77777777" w:rsidR="00DF5344" w:rsidRDefault="00DF5344">
      <w:pPr>
        <w:spacing w:after="0" w:line="240" w:lineRule="auto"/>
        <w:jc w:val="both"/>
        <w:rPr>
          <w:sz w:val="24"/>
          <w:szCs w:val="24"/>
        </w:rPr>
      </w:pPr>
    </w:p>
    <w:p w14:paraId="531E5404" w14:textId="4247FA87" w:rsidR="00DF5344" w:rsidRDefault="00BF491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Wyłonienie organizacji pozarządowych do komitetów monitorujących zgodnie z regulacjami musi się odbyć w transparentnej procedurze niezależnie od władz krajowych i regionalnych oraz ich organów dor</w:t>
      </w:r>
      <w:r>
        <w:rPr>
          <w:sz w:val="24"/>
          <w:szCs w:val="24"/>
        </w:rPr>
        <w:t xml:space="preserve">adczych. Z uwagi na sukcesywne zatwierdzanie programów przez Komisję Europejską wyłonienie NGOs odbywać się będzie w najbliższych tygodniach zarówno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>w przypadku programów krajowych, jak i regionalnych. W przypadku programów krajowych władną do opracowania</w:t>
      </w:r>
      <w:r>
        <w:rPr>
          <w:sz w:val="24"/>
          <w:szCs w:val="24"/>
        </w:rPr>
        <w:t xml:space="preserve"> procedury i powołania komisji wyborczej jest rada działalności pożytku publicznego w ramach Kancelarii Prezesa Rady Ministrów. Natomiast w </w:t>
      </w:r>
      <w:r>
        <w:rPr>
          <w:sz w:val="24"/>
          <w:szCs w:val="24"/>
        </w:rPr>
        <w:lastRenderedPageBreak/>
        <w:t>przypadku programów regionalnych stosowny proces wyborczy i powołanie komisji wyborczej musi zostać zrealizowany prz</w:t>
      </w:r>
      <w:r>
        <w:rPr>
          <w:sz w:val="24"/>
          <w:szCs w:val="24"/>
        </w:rPr>
        <w:t>ez odpowiednie wojewódzkie rady działalności pożytku publicznego (odpowiednio organ doradczy marszałka województwa).</w:t>
      </w:r>
    </w:p>
    <w:p w14:paraId="4D8A0394" w14:textId="77777777" w:rsidR="00DF5344" w:rsidRDefault="00DF5344">
      <w:pPr>
        <w:spacing w:after="0" w:line="240" w:lineRule="auto"/>
        <w:jc w:val="both"/>
        <w:rPr>
          <w:sz w:val="24"/>
          <w:szCs w:val="24"/>
        </w:rPr>
      </w:pPr>
    </w:p>
    <w:p w14:paraId="42B834B5" w14:textId="77777777" w:rsidR="00DF5344" w:rsidRDefault="00BF491D">
      <w:pPr>
        <w:jc w:val="both"/>
        <w:rPr>
          <w:sz w:val="24"/>
          <w:szCs w:val="24"/>
        </w:rPr>
      </w:pPr>
      <w:r>
        <w:rPr>
          <w:sz w:val="24"/>
          <w:szCs w:val="24"/>
        </w:rPr>
        <w:t>Jedno jest pewne będzie bardzo mało czasu - zaledwie kilka dni na zgłoszenia i głosowanie wśród organizacji pozarządowych, a to wymagać bę</w:t>
      </w:r>
      <w:r>
        <w:rPr>
          <w:sz w:val="24"/>
          <w:szCs w:val="24"/>
        </w:rPr>
        <w:t>dzie ogromnej mobilizacji i wzmocnienia wielu osób, które do tej pory może nie zajmowały się bezpośrednio inwestycjami i działaniami finansowanymi z funduszy europejskich, ale np. interesowały się zasadami państwa prawa (wolność słowa, prawo zrzeszania się</w:t>
      </w:r>
      <w:r>
        <w:rPr>
          <w:sz w:val="24"/>
          <w:szCs w:val="24"/>
        </w:rPr>
        <w:t>, praworządność), prawem do informacji, prawami kobiet, niedyskryminacją osób LGBTQiA, prawami osób z państw trzecich, dostępnością dla osób z niepełnosprawnością oraz ochroną środowiska, troską o klimat, sprawiedliwą transformacją. Aktywność w komitecie m</w:t>
      </w:r>
      <w:r>
        <w:rPr>
          <w:sz w:val="24"/>
          <w:szCs w:val="24"/>
        </w:rPr>
        <w:t xml:space="preserve">onitorującym będzie idealna na pewno dla osób, które czuwają nad transparentnością, dbają o dostęp do dokumentów, monitorują zamówienia publiczne. </w:t>
      </w:r>
    </w:p>
    <w:p w14:paraId="2FCAEBD5" w14:textId="77777777" w:rsidR="00DF5344" w:rsidRDefault="00BF491D">
      <w:pPr>
        <w:jc w:val="both"/>
        <w:rPr>
          <w:sz w:val="24"/>
          <w:szCs w:val="24"/>
        </w:rPr>
      </w:pPr>
      <w:r>
        <w:rPr>
          <w:sz w:val="24"/>
          <w:szCs w:val="24"/>
        </w:rPr>
        <w:t>Forma zaangażowania w komitecie monitorującym może dotyczyć roli członka/członkini komitetu monitorującego (</w:t>
      </w:r>
      <w:r>
        <w:rPr>
          <w:sz w:val="24"/>
          <w:szCs w:val="24"/>
        </w:rPr>
        <w:t>lub zastępcy), a także funkcji obserwatora. Warto wiedzieć, że zaangażowanie w prace komitetu i w powołanych w jego ramach grupach roboczych to funkcja obywatelska (społeczna) związane jest z udziałem w posiedzeniach, ale też analizą dokumentów pod kątem o</w:t>
      </w:r>
      <w:r>
        <w:rPr>
          <w:sz w:val="24"/>
          <w:szCs w:val="24"/>
        </w:rPr>
        <w:t>bszaru/zagadnienia, w szczególności dot. zasad i warunków oraz kryteriów wyboru projektów, a także kontakt ze środowiskiem NGOs, udostępnianie materiałów, formułowanie opinii, rekomendacji, postulatów w imieniu środowiska NGOs.</w:t>
      </w:r>
    </w:p>
    <w:p w14:paraId="16C60952" w14:textId="5E62EE99" w:rsidR="00DF5344" w:rsidRDefault="00BF491D">
      <w:pPr>
        <w:jc w:val="both"/>
        <w:rPr>
          <w:sz w:val="24"/>
          <w:szCs w:val="24"/>
        </w:rPr>
      </w:pPr>
      <w:r>
        <w:rPr>
          <w:sz w:val="24"/>
          <w:szCs w:val="24"/>
        </w:rPr>
        <w:t>Nabór do komitetów dotyczy p</w:t>
      </w:r>
      <w:r>
        <w:rPr>
          <w:sz w:val="24"/>
          <w:szCs w:val="24"/>
        </w:rPr>
        <w:t xml:space="preserve">erspektywy budżetu UE na lata 2021-2027 (+2lata). Członkowie komitetu monitorującego (i zastępcy) mogą liczyć na wsparcie z budżetu danego programu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 xml:space="preserve">w ramach tzw. pomocy technicznej. Wsparcie uzależnione będzie </w:t>
      </w:r>
      <w:r>
        <w:rPr>
          <w:sz w:val="24"/>
          <w:szCs w:val="24"/>
        </w:rPr>
        <w:lastRenderedPageBreak/>
        <w:t>także od ewentualnej dotacji pozyskanej przez</w:t>
      </w:r>
      <w:r>
        <w:rPr>
          <w:sz w:val="24"/>
          <w:szCs w:val="24"/>
        </w:rPr>
        <w:t xml:space="preserve"> organizacje społeczeństwa obywatelskiego na wsparcie przedstawicieli/-ek NGOs w procesie monitorowania funduszy europejskich. Na chwilę obecną na pewno można liczyć na dostęp do informacji, udział w szkoleniach i konferencjach oraz spotkaniach oraz zwrot </w:t>
      </w:r>
      <w:r>
        <w:rPr>
          <w:sz w:val="24"/>
          <w:szCs w:val="24"/>
        </w:rPr>
        <w:t>kosztów przejazdu na posiedzenia komitetu.</w:t>
      </w:r>
    </w:p>
    <w:p w14:paraId="46605872" w14:textId="14685ED8" w:rsidR="00DF5344" w:rsidRDefault="00BF491D">
      <w:pPr>
        <w:jc w:val="both"/>
        <w:rPr>
          <w:sz w:val="24"/>
          <w:szCs w:val="24"/>
          <w:highlight w:val="cyan"/>
        </w:rPr>
      </w:pPr>
      <w:r>
        <w:rPr>
          <w:sz w:val="24"/>
          <w:szCs w:val="24"/>
        </w:rPr>
        <w:t xml:space="preserve">OFOP zachęca do wypełnienia formularza celem analizy możliwości i potencjału organizacji pozarządowych do prac w komitetach monitorujących i współpracy w tym zakresie. Organizacje mogą liczyć na możliwość wymiany </w:t>
      </w:r>
      <w:r>
        <w:rPr>
          <w:sz w:val="24"/>
          <w:szCs w:val="24"/>
        </w:rPr>
        <w:t xml:space="preserve">doświadczeń, wsparcie specjalistów, udział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>w spotkaniach informacyjnych i przygotowawczych, m.in. 9 listopada i 14 grudnia. Zgłoszenia zainteresowanych osób, które chcą otrzymywać aktualne informacje i korzystać ze wsparcia OFOP przyjmowane są przez formu</w:t>
      </w:r>
      <w:r>
        <w:rPr>
          <w:sz w:val="24"/>
          <w:szCs w:val="24"/>
        </w:rPr>
        <w:t xml:space="preserve">larz – link: </w:t>
      </w:r>
      <w:hyperlink r:id="rId8">
        <w:r>
          <w:rPr>
            <w:color w:val="1155CC"/>
            <w:sz w:val="24"/>
            <w:szCs w:val="24"/>
            <w:u w:val="single"/>
          </w:rPr>
          <w:t>https://bit.ly/3PB1PkH</w:t>
        </w:r>
      </w:hyperlink>
      <w:r>
        <w:rPr>
          <w:sz w:val="24"/>
          <w:szCs w:val="24"/>
        </w:rPr>
        <w:t xml:space="preserve"> </w:t>
      </w:r>
    </w:p>
    <w:p w14:paraId="792DD617" w14:textId="030B303B" w:rsidR="00DF5344" w:rsidRDefault="00BF491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Zainteresowanych startem do komitetów monitorujących bez doświadczenia w tej kwestii Ogólnopolska Federacja Organizacji Pozarządowych zaprasza na spotkania wprowadzające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>w tema</w:t>
      </w:r>
      <w:r>
        <w:rPr>
          <w:sz w:val="24"/>
          <w:szCs w:val="24"/>
        </w:rPr>
        <w:t xml:space="preserve">tykę funduszy europejskich na lata 2021 2027 w następujących terminach. </w:t>
      </w:r>
    </w:p>
    <w:p w14:paraId="6E7B37E6" w14:textId="77777777" w:rsidR="00DF5344" w:rsidRDefault="00BF491D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 listopada 2022 (wtorek) godz. 19:00 </w:t>
      </w:r>
    </w:p>
    <w:p w14:paraId="081C6307" w14:textId="77777777" w:rsidR="00DF5344" w:rsidRDefault="00BF491D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9 listopada 2022 (środa) godz. 14:00</w:t>
      </w:r>
    </w:p>
    <w:p w14:paraId="440FA962" w14:textId="77777777" w:rsidR="00DF5344" w:rsidRDefault="00BF491D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23 listopada 2022 (środa) godz. 14:00</w:t>
      </w:r>
    </w:p>
    <w:p w14:paraId="27E1E407" w14:textId="77777777" w:rsidR="00DF5344" w:rsidRDefault="00BF491D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24 listopada 2022 (czwartek) godz. 19:00</w:t>
      </w:r>
    </w:p>
    <w:p w14:paraId="1FF5A8B4" w14:textId="77777777" w:rsidR="00DF5344" w:rsidRDefault="00BF491D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7 grudnia 2022 (środa) godz.</w:t>
      </w:r>
      <w:r>
        <w:rPr>
          <w:sz w:val="24"/>
          <w:szCs w:val="24"/>
        </w:rPr>
        <w:t xml:space="preserve"> 14:00 </w:t>
      </w:r>
    </w:p>
    <w:p w14:paraId="2E55B1CC" w14:textId="77777777" w:rsidR="00DF5344" w:rsidRDefault="00BF491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Będą to spotkania trwające ok. 1h. Podczas każdego z nich zostanie omówiona struktura programów finansowanych z funduszy europejskich na lata 2021-2027, zasada partnerstwa, zasady horyzontalne, czym właściwie są komitety monitorujące. Będzie okazja</w:t>
      </w:r>
      <w:r>
        <w:rPr>
          <w:sz w:val="24"/>
          <w:szCs w:val="24"/>
        </w:rPr>
        <w:t xml:space="preserve"> do zapoznania się z nazewnictwem. Spotkanie jest dedykowane osobom, które chcą się wdrożyć w tematykę i nie czują się pewnie nt. tego jakie zadania mogą mieć przedstawiciele/-ki NGOs w komitetach monitorujących.</w:t>
      </w:r>
    </w:p>
    <w:p w14:paraId="28929FA0" w14:textId="77777777" w:rsidR="00DF5344" w:rsidRDefault="00DF5344">
      <w:pPr>
        <w:spacing w:after="0" w:line="240" w:lineRule="auto"/>
        <w:jc w:val="both"/>
        <w:rPr>
          <w:sz w:val="24"/>
          <w:szCs w:val="24"/>
        </w:rPr>
      </w:pPr>
    </w:p>
    <w:p w14:paraId="1C027FAA" w14:textId="77777777" w:rsidR="00DF5344" w:rsidRDefault="00DF5344">
      <w:pPr>
        <w:spacing w:after="0" w:line="240" w:lineRule="auto"/>
        <w:jc w:val="both"/>
        <w:rPr>
          <w:sz w:val="24"/>
          <w:szCs w:val="24"/>
        </w:rPr>
      </w:pPr>
    </w:p>
    <w:p w14:paraId="26E85BA0" w14:textId="77777777" w:rsidR="00DF5344" w:rsidRDefault="00DF5344">
      <w:pPr>
        <w:spacing w:after="0" w:line="240" w:lineRule="auto"/>
        <w:jc w:val="both"/>
        <w:rPr>
          <w:sz w:val="24"/>
          <w:szCs w:val="24"/>
        </w:rPr>
      </w:pPr>
    </w:p>
    <w:p w14:paraId="3B0FCBD0" w14:textId="77777777" w:rsidR="00DF5344" w:rsidRDefault="00BF491D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Zachęcamy do zapoznania się z nagraniami</w:t>
      </w:r>
      <w:r>
        <w:rPr>
          <w:b/>
          <w:sz w:val="24"/>
          <w:szCs w:val="24"/>
        </w:rPr>
        <w:t>, które przybliżają aspekty zasad horyzontalnych:</w:t>
      </w:r>
    </w:p>
    <w:p w14:paraId="680AB75D" w14:textId="77777777" w:rsidR="00DF5344" w:rsidRDefault="00DF5344">
      <w:pPr>
        <w:spacing w:after="0" w:line="240" w:lineRule="auto"/>
        <w:jc w:val="both"/>
        <w:rPr>
          <w:b/>
          <w:sz w:val="24"/>
          <w:szCs w:val="24"/>
        </w:rPr>
      </w:pPr>
    </w:p>
    <w:p w14:paraId="7E294B97" w14:textId="5F45FDE8" w:rsidR="00DF5344" w:rsidRDefault="00BF491D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Relacja z konferencji pt. Praworządność i prawa podstawowe - wyzwania dla Polski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 xml:space="preserve">w kontekście funduszy europejskich (Warszawa - 6 lipca 2022 r.) </w:t>
      </w:r>
      <w:r>
        <w:rPr>
          <w:sz w:val="24"/>
          <w:szCs w:val="24"/>
        </w:rPr>
        <w:br/>
        <w:t xml:space="preserve">Link do nagrania: </w:t>
      </w:r>
      <w:hyperlink r:id="rId9">
        <w:r>
          <w:rPr>
            <w:color w:val="1155CC"/>
            <w:sz w:val="24"/>
            <w:szCs w:val="24"/>
            <w:u w:val="single"/>
          </w:rPr>
          <w:t>https://youtu.be/1zSoxWifGws</w:t>
        </w:r>
      </w:hyperlink>
      <w:r>
        <w:rPr>
          <w:sz w:val="24"/>
          <w:szCs w:val="24"/>
        </w:rPr>
        <w:t xml:space="preserve">  </w:t>
      </w:r>
    </w:p>
    <w:p w14:paraId="1145D3C6" w14:textId="77777777" w:rsidR="00DF5344" w:rsidRDefault="00BF491D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RESPEKTOWANIE PRAW PODSTAWOWYCH. Link do nagrania: </w:t>
      </w:r>
      <w:hyperlink r:id="rId10">
        <w:r>
          <w:rPr>
            <w:color w:val="1155CC"/>
            <w:sz w:val="24"/>
            <w:szCs w:val="24"/>
            <w:u w:val="single"/>
          </w:rPr>
          <w:t>https://youtu.be/hilQO1F4PLw</w:t>
        </w:r>
      </w:hyperlink>
      <w:r>
        <w:rPr>
          <w:sz w:val="24"/>
          <w:szCs w:val="24"/>
        </w:rPr>
        <w:t xml:space="preserve"> </w:t>
      </w:r>
    </w:p>
    <w:p w14:paraId="3EDA0668" w14:textId="77777777" w:rsidR="00DF5344" w:rsidRDefault="00BF491D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ZASADA DOSTĘPNOŚCI. Link do nagrania: </w:t>
      </w:r>
      <w:hyperlink r:id="rId11">
        <w:r>
          <w:rPr>
            <w:color w:val="1155CC"/>
            <w:sz w:val="24"/>
            <w:szCs w:val="24"/>
            <w:u w:val="single"/>
          </w:rPr>
          <w:t>https://youtu.be/ACYmNZdXGEI</w:t>
        </w:r>
      </w:hyperlink>
      <w:r>
        <w:rPr>
          <w:sz w:val="24"/>
          <w:szCs w:val="24"/>
        </w:rPr>
        <w:t xml:space="preserve"> </w:t>
      </w:r>
    </w:p>
    <w:p w14:paraId="4D349574" w14:textId="77777777" w:rsidR="00DF5344" w:rsidRDefault="00BF491D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ZASADA NIEDYSKRYMINACJI. Link do nagrania: </w:t>
      </w:r>
      <w:hyperlink r:id="rId12">
        <w:r>
          <w:rPr>
            <w:color w:val="1155CC"/>
            <w:sz w:val="24"/>
            <w:szCs w:val="24"/>
            <w:u w:val="single"/>
          </w:rPr>
          <w:t>https://youtu.be/ePPWyEvikFo</w:t>
        </w:r>
      </w:hyperlink>
      <w:r>
        <w:rPr>
          <w:sz w:val="24"/>
          <w:szCs w:val="24"/>
        </w:rPr>
        <w:t xml:space="preserve"> </w:t>
      </w:r>
    </w:p>
    <w:p w14:paraId="75565C87" w14:textId="77777777" w:rsidR="00DF5344" w:rsidRDefault="00BF491D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ZASADA RÓWNOŚCI SZANS KOBIET I MĘŻCZYZN / GENDER MAINSTREAMING. Link do nagrania: </w:t>
      </w:r>
      <w:hyperlink r:id="rId13">
        <w:r>
          <w:rPr>
            <w:color w:val="1155CC"/>
            <w:sz w:val="24"/>
            <w:szCs w:val="24"/>
            <w:u w:val="single"/>
          </w:rPr>
          <w:t>https://youtu.be/gcU8jsQvtSk</w:t>
        </w:r>
      </w:hyperlink>
      <w:r>
        <w:rPr>
          <w:sz w:val="24"/>
          <w:szCs w:val="24"/>
        </w:rPr>
        <w:t xml:space="preserve"> </w:t>
      </w:r>
    </w:p>
    <w:p w14:paraId="0D289BA3" w14:textId="77777777" w:rsidR="00DF5344" w:rsidRDefault="00BF491D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ZASADA ZRÓWNOWAŻONEGO ROZWOJU. Link do nagrania: </w:t>
      </w:r>
      <w:hyperlink r:id="rId14">
        <w:r>
          <w:rPr>
            <w:color w:val="1155CC"/>
            <w:sz w:val="24"/>
            <w:szCs w:val="24"/>
            <w:u w:val="single"/>
          </w:rPr>
          <w:t>https://youtu.be/SdccNiHCzWA</w:t>
        </w:r>
      </w:hyperlink>
      <w:r>
        <w:rPr>
          <w:sz w:val="24"/>
          <w:szCs w:val="24"/>
        </w:rPr>
        <w:t xml:space="preserve">  </w:t>
      </w:r>
    </w:p>
    <w:p w14:paraId="69E7619A" w14:textId="77777777" w:rsidR="00DF5344" w:rsidRDefault="00DF5344">
      <w:pPr>
        <w:spacing w:after="0" w:line="240" w:lineRule="auto"/>
        <w:jc w:val="both"/>
        <w:rPr>
          <w:sz w:val="24"/>
          <w:szCs w:val="24"/>
        </w:rPr>
      </w:pPr>
    </w:p>
    <w:p w14:paraId="6C984349" w14:textId="77777777" w:rsidR="00DF5344" w:rsidRDefault="00BF491D" w:rsidP="007A47B2">
      <w:pPr>
        <w:rPr>
          <w:sz w:val="24"/>
          <w:szCs w:val="24"/>
        </w:rPr>
      </w:pPr>
      <w:r>
        <w:rPr>
          <w:sz w:val="24"/>
          <w:szCs w:val="24"/>
        </w:rPr>
        <w:t xml:space="preserve">Więcej informacji: </w:t>
      </w:r>
      <w:hyperlink r:id="rId15">
        <w:r>
          <w:rPr>
            <w:color w:val="1155CC"/>
            <w:sz w:val="24"/>
            <w:szCs w:val="24"/>
            <w:u w:val="single"/>
          </w:rPr>
          <w:t>www.ofop.eu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 xml:space="preserve">W sprawach komitetów monitorujących prosimy o kontakt: </w:t>
      </w:r>
      <w:hyperlink r:id="rId16">
        <w:r>
          <w:rPr>
            <w:color w:val="1155CC"/>
            <w:sz w:val="24"/>
            <w:szCs w:val="24"/>
            <w:u w:val="single"/>
          </w:rPr>
          <w:t>komitetymonitorujace@ofop.eu</w:t>
        </w:r>
      </w:hyperlink>
      <w:r>
        <w:rPr>
          <w:sz w:val="24"/>
          <w:szCs w:val="24"/>
        </w:rPr>
        <w:t xml:space="preserve"> </w:t>
      </w:r>
    </w:p>
    <w:p w14:paraId="285A2867" w14:textId="77777777" w:rsidR="00DF5344" w:rsidRDefault="00DF5344">
      <w:pPr>
        <w:jc w:val="both"/>
        <w:rPr>
          <w:b/>
          <w:sz w:val="24"/>
          <w:szCs w:val="24"/>
        </w:rPr>
      </w:pPr>
    </w:p>
    <w:p w14:paraId="25CCCC04" w14:textId="77777777" w:rsidR="00DF5344" w:rsidRDefault="00BF491D">
      <w:pPr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Oprac. Iwona Janicka, Ogólnopolska Federacja Organizacji Pozarządowych</w:t>
      </w:r>
    </w:p>
    <w:p w14:paraId="3CBB6BB4" w14:textId="77777777" w:rsidR="00DF5344" w:rsidRDefault="00DF5344">
      <w:pPr>
        <w:jc w:val="both"/>
        <w:rPr>
          <w:sz w:val="24"/>
          <w:szCs w:val="24"/>
        </w:rPr>
      </w:pPr>
    </w:p>
    <w:p w14:paraId="7D1F9F58" w14:textId="77777777" w:rsidR="00DF5344" w:rsidRDefault="00DF5344">
      <w:pPr>
        <w:jc w:val="both"/>
        <w:rPr>
          <w:sz w:val="24"/>
          <w:szCs w:val="24"/>
        </w:rPr>
      </w:pPr>
    </w:p>
    <w:p w14:paraId="4130F3B2" w14:textId="77777777" w:rsidR="00DF5344" w:rsidRDefault="00BF491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Partnerstwo dla lepszej</w:t>
      </w:r>
      <w:r>
        <w:rPr>
          <w:b/>
          <w:sz w:val="24"/>
          <w:szCs w:val="24"/>
        </w:rPr>
        <w:t xml:space="preserve"> perspektywy! </w:t>
      </w:r>
    </w:p>
    <w:p w14:paraId="0E01CFE7" w14:textId="77777777" w:rsidR="00DF5344" w:rsidRDefault="00BF491D">
      <w:pPr>
        <w:jc w:val="both"/>
        <w:rPr>
          <w:i/>
        </w:rPr>
      </w:pPr>
      <w:r>
        <w:rPr>
          <w:i/>
        </w:rPr>
        <w:t>Ogólnopolska Federacja Organizacji Pozarządowych realizuje działania rzecznicze i sieciujące na mocy porozumienia ze Stowarzyszeniem KLON/JAWOR i przy wsparciu Polsko-Amerykańskiej Fundacji Wolności. Korzystamy ze wsparcia CIVITATES i Europe</w:t>
      </w:r>
      <w:r>
        <w:rPr>
          <w:i/>
        </w:rPr>
        <w:t>an Climate Foundation.</w:t>
      </w:r>
    </w:p>
    <w:p w14:paraId="76919B65" w14:textId="77777777" w:rsidR="00DF5344" w:rsidRDefault="00DF5344">
      <w:pPr>
        <w:jc w:val="both"/>
        <w:rPr>
          <w:sz w:val="24"/>
          <w:szCs w:val="24"/>
        </w:rPr>
      </w:pPr>
    </w:p>
    <w:p w14:paraId="4B0360A9" w14:textId="77777777" w:rsidR="00DF5344" w:rsidRDefault="00BF491D">
      <w:pPr>
        <w:jc w:val="both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lastRenderedPageBreak/>
        <w:t xml:space="preserve"> </w:t>
      </w:r>
    </w:p>
    <w:p w14:paraId="5BA00DAF" w14:textId="77777777" w:rsidR="00DF5344" w:rsidRDefault="00BF491D">
      <w:pPr>
        <w:jc w:val="both"/>
        <w:rPr>
          <w:sz w:val="24"/>
          <w:szCs w:val="24"/>
          <w:highlight w:val="yellow"/>
        </w:rPr>
      </w:pPr>
      <w:r>
        <w:rPr>
          <w:sz w:val="24"/>
          <w:szCs w:val="24"/>
        </w:rPr>
        <w:t>[KONIEC INFORMACJI]</w:t>
      </w:r>
    </w:p>
    <w:p w14:paraId="2639C7B2" w14:textId="77777777" w:rsidR="00DF5344" w:rsidRDefault="00DF5344">
      <w:pPr>
        <w:jc w:val="both"/>
        <w:rPr>
          <w:sz w:val="24"/>
          <w:szCs w:val="24"/>
        </w:rPr>
      </w:pPr>
    </w:p>
    <w:p w14:paraId="11AEB855" w14:textId="77777777" w:rsidR="00DF5344" w:rsidRDefault="00BF491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2CCB3EC2" wp14:editId="0C336A27">
            <wp:extent cx="5760410" cy="3251200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25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E23EFC" w14:textId="77777777" w:rsidR="00DF5344" w:rsidRDefault="00DF5344">
      <w:pPr>
        <w:jc w:val="both"/>
        <w:rPr>
          <w:sz w:val="24"/>
          <w:szCs w:val="24"/>
          <w:highlight w:val="yellow"/>
        </w:rPr>
      </w:pPr>
    </w:p>
    <w:p w14:paraId="60974CE5" w14:textId="77777777" w:rsidR="00DF5344" w:rsidRDefault="00BF491D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 wp14:anchorId="2B7C0D32" wp14:editId="51130563">
            <wp:extent cx="5760410" cy="3251200"/>
            <wp:effectExtent l="0" t="0" r="0" b="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25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6DD711" w14:textId="77777777" w:rsidR="00DF5344" w:rsidRDefault="00BF491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Partnerstwo dla lepszej perspektywy! </w:t>
      </w:r>
    </w:p>
    <w:p w14:paraId="3BE073E7" w14:textId="77777777" w:rsidR="00DF5344" w:rsidRDefault="00BF491D">
      <w:pPr>
        <w:jc w:val="both"/>
      </w:pPr>
      <w:r>
        <w:rPr>
          <w:i/>
        </w:rPr>
        <w:t xml:space="preserve">Ogólnopolska Federacja Organizacji Pozarządowych realizuje działania rzecznicze i sieciujące na mocy porozumienia ze Stowarzyszeniem </w:t>
      </w:r>
      <w:r>
        <w:rPr>
          <w:i/>
        </w:rPr>
        <w:lastRenderedPageBreak/>
        <w:t>KLON/JAWOR i przy wsparciu Polsko</w:t>
      </w:r>
      <w:r>
        <w:rPr>
          <w:i/>
        </w:rPr>
        <w:t>-Amerykańskiej Fundacji Wolności. Korzystamy ze wsparcia CIVITATES i European Climate Foundation.</w:t>
      </w:r>
    </w:p>
    <w:sectPr w:rsidR="00DF5344">
      <w:headerReference w:type="default" r:id="rId19"/>
      <w:footerReference w:type="default" r:id="rId20"/>
      <w:pgSz w:w="11906" w:h="16838"/>
      <w:pgMar w:top="2269" w:right="1417" w:bottom="1417" w:left="1417" w:header="709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32F545" w14:textId="77777777" w:rsidR="00BF491D" w:rsidRDefault="00BF491D">
      <w:pPr>
        <w:spacing w:after="0" w:line="240" w:lineRule="auto"/>
      </w:pPr>
      <w:r>
        <w:separator/>
      </w:r>
    </w:p>
  </w:endnote>
  <w:endnote w:type="continuationSeparator" w:id="0">
    <w:p w14:paraId="104878CC" w14:textId="77777777" w:rsidR="00BF491D" w:rsidRDefault="00BF49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2" w:name="_heading=h.30j0zll" w:colFirst="0" w:colLast="0"/>
  <w:bookmarkEnd w:id="2"/>
  <w:p w14:paraId="01D39F40" w14:textId="77777777" w:rsidR="00DF5344" w:rsidRDefault="00BF491D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ED4269F" wp14:editId="4BDA7335">
              <wp:simplePos x="0" y="0"/>
              <wp:positionH relativeFrom="column">
                <wp:posOffset>1</wp:posOffset>
              </wp:positionH>
              <wp:positionV relativeFrom="paragraph">
                <wp:posOffset>-165099</wp:posOffset>
              </wp:positionV>
              <wp:extent cx="6494145" cy="127000"/>
              <wp:effectExtent l="0" t="0" r="0" b="0"/>
              <wp:wrapSquare wrapText="bothSides" distT="0" distB="0" distL="114300" distR="114300"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108453" y="3726025"/>
                        <a:ext cx="6475095" cy="107950"/>
                      </a:xfrm>
                      <a:prstGeom prst="rect">
                        <a:avLst/>
                      </a:prstGeom>
                      <a:solidFill>
                        <a:srgbClr val="D76F33"/>
                      </a:solidFill>
                      <a:ln>
                        <a:noFill/>
                      </a:ln>
                    </wps:spPr>
                    <wps:txbx>
                      <w:txbxContent>
                        <w:p w14:paraId="288CDEE6" w14:textId="77777777" w:rsidR="00DF5344" w:rsidRDefault="00DF534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ED4269F" id="Prostokąt 7" o:spid="_x0000_s1027" style="position:absolute;margin-left:0;margin-top:-13pt;width:511.35pt;height:1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" fillcolor="#d76f33" stroked="f">
              <v:textbox inset="2.53958mm,2.53958mm,2.53958mm,2.53958mm">
                <w:txbxContent>
                  <w:p w14:paraId="288CDEE6" w14:textId="77777777" w:rsidR="00DF5344" w:rsidRDefault="00DF5344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  <w:p w14:paraId="2E911B97" w14:textId="77777777" w:rsidR="00DF5344" w:rsidRDefault="00DF5344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6"/>
        <w:szCs w:val="16"/>
      </w:rPr>
    </w:pPr>
  </w:p>
  <w:p w14:paraId="0FDC3253" w14:textId="77777777" w:rsidR="00DF5344" w:rsidRDefault="00DF53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8AE37B" w14:textId="77777777" w:rsidR="00BF491D" w:rsidRDefault="00BF491D">
      <w:pPr>
        <w:spacing w:after="0" w:line="240" w:lineRule="auto"/>
      </w:pPr>
      <w:r>
        <w:separator/>
      </w:r>
    </w:p>
  </w:footnote>
  <w:footnote w:type="continuationSeparator" w:id="0">
    <w:p w14:paraId="662B3EE4" w14:textId="77777777" w:rsidR="00BF491D" w:rsidRDefault="00BF49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5D23F0" w14:textId="77777777" w:rsidR="00DF5344" w:rsidRDefault="00BF49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0E32F940" wp14:editId="5490CA37">
              <wp:simplePos x="0" y="0"/>
              <wp:positionH relativeFrom="column">
                <wp:posOffset>2984500</wp:posOffset>
              </wp:positionH>
              <wp:positionV relativeFrom="paragraph">
                <wp:posOffset>571500</wp:posOffset>
              </wp:positionV>
              <wp:extent cx="2774950" cy="127000"/>
              <wp:effectExtent l="0" t="0" r="0" b="0"/>
              <wp:wrapNone/>
              <wp:docPr id="8" name="Prostoką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968050" y="3726025"/>
                        <a:ext cx="2755900" cy="107950"/>
                      </a:xfrm>
                      <a:prstGeom prst="rect">
                        <a:avLst/>
                      </a:prstGeom>
                      <a:solidFill>
                        <a:srgbClr val="D76F33"/>
                      </a:solidFill>
                      <a:ln>
                        <a:noFill/>
                      </a:ln>
                    </wps:spPr>
                    <wps:txbx>
                      <w:txbxContent>
                        <w:p w14:paraId="1682A31B" w14:textId="77777777" w:rsidR="00DF5344" w:rsidRDefault="00DF534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E32F940" id="Prostokąt 8" o:spid="_x0000_s1026" style="position:absolute;margin-left:235pt;margin-top:45pt;width:218.5pt;height:10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" fillcolor="#d76f33" stroked="f">
              <v:textbox inset="2.53958mm,2.53958mm,2.53958mm,2.53958mm">
                <w:txbxContent>
                  <w:p w14:paraId="1682A31B" w14:textId="77777777" w:rsidR="00DF5344" w:rsidRDefault="00DF5344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1AA8223" wp14:editId="154F509C">
          <wp:simplePos x="0" y="0"/>
          <wp:positionH relativeFrom="column">
            <wp:posOffset>3</wp:posOffset>
          </wp:positionH>
          <wp:positionV relativeFrom="paragraph">
            <wp:posOffset>81915</wp:posOffset>
          </wp:positionV>
          <wp:extent cx="1438275" cy="718820"/>
          <wp:effectExtent l="0" t="0" r="0" b="0"/>
          <wp:wrapSquare wrapText="bothSides" distT="0" distB="0" distL="114300" distR="114300"/>
          <wp:docPr id="1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8275" cy="718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864F6"/>
    <w:multiLevelType w:val="multilevel"/>
    <w:tmpl w:val="F89E61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6706D9F"/>
    <w:multiLevelType w:val="multilevel"/>
    <w:tmpl w:val="7BEA43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79E300D"/>
    <w:multiLevelType w:val="multilevel"/>
    <w:tmpl w:val="53EE45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5C16855"/>
    <w:multiLevelType w:val="multilevel"/>
    <w:tmpl w:val="8662F02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3990288"/>
    <w:multiLevelType w:val="multilevel"/>
    <w:tmpl w:val="7264D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344"/>
    <w:rsid w:val="0054401D"/>
    <w:rsid w:val="007A47B2"/>
    <w:rsid w:val="008B34EA"/>
    <w:rsid w:val="00A43C1E"/>
    <w:rsid w:val="00BF491D"/>
    <w:rsid w:val="00D907D1"/>
    <w:rsid w:val="00DF5344"/>
    <w:rsid w:val="00E73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52FBA"/>
  <w15:docId w15:val="{D6A22CA9-FBF3-4769-B4C9-152CB6D81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E63BA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E63BA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F0B3D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F0B3D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A31F5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A31F5D"/>
    <w:pPr>
      <w:spacing w:line="241" w:lineRule="atLeast"/>
    </w:pPr>
    <w:rPr>
      <w:color w:val="auto"/>
    </w:rPr>
  </w:style>
  <w:style w:type="character" w:customStyle="1" w:styleId="A1">
    <w:name w:val="A1"/>
    <w:uiPriority w:val="99"/>
    <w:rsid w:val="00A31F5D"/>
    <w:rPr>
      <w:color w:val="000000"/>
      <w:sz w:val="22"/>
      <w:szCs w:val="22"/>
    </w:rPr>
  </w:style>
  <w:style w:type="paragraph" w:customStyle="1" w:styleId="Pa0">
    <w:name w:val="Pa0"/>
    <w:basedOn w:val="Default"/>
    <w:next w:val="Default"/>
    <w:uiPriority w:val="99"/>
    <w:rsid w:val="00A31F5D"/>
    <w:pPr>
      <w:spacing w:line="241" w:lineRule="atLeast"/>
    </w:pPr>
    <w:rPr>
      <w:color w:val="auto"/>
    </w:rPr>
  </w:style>
  <w:style w:type="paragraph" w:customStyle="1" w:styleId="Pa3">
    <w:name w:val="Pa3"/>
    <w:basedOn w:val="Default"/>
    <w:next w:val="Default"/>
    <w:uiPriority w:val="99"/>
    <w:rsid w:val="00A31F5D"/>
    <w:pPr>
      <w:spacing w:line="241" w:lineRule="atLeast"/>
    </w:pPr>
    <w:rPr>
      <w:color w:val="auto"/>
    </w:rPr>
  </w:style>
  <w:style w:type="character" w:customStyle="1" w:styleId="A0">
    <w:name w:val="A0"/>
    <w:uiPriority w:val="99"/>
    <w:rsid w:val="00A31F5D"/>
    <w:rPr>
      <w:color w:val="000000"/>
      <w:sz w:val="16"/>
      <w:szCs w:val="16"/>
    </w:rPr>
  </w:style>
  <w:style w:type="paragraph" w:customStyle="1" w:styleId="Pa1">
    <w:name w:val="Pa1"/>
    <w:basedOn w:val="Default"/>
    <w:next w:val="Default"/>
    <w:uiPriority w:val="99"/>
    <w:rsid w:val="00A31F5D"/>
    <w:pPr>
      <w:spacing w:line="241" w:lineRule="atLeast"/>
    </w:pPr>
    <w:rPr>
      <w:color w:val="auto"/>
    </w:rPr>
  </w:style>
  <w:style w:type="paragraph" w:styleId="Nagwek">
    <w:name w:val="header"/>
    <w:basedOn w:val="Normalny"/>
    <w:link w:val="NagwekZnak"/>
    <w:uiPriority w:val="99"/>
    <w:unhideWhenUsed/>
    <w:rsid w:val="00A31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31F5D"/>
  </w:style>
  <w:style w:type="paragraph" w:styleId="Stopka">
    <w:name w:val="footer"/>
    <w:basedOn w:val="Normalny"/>
    <w:link w:val="StopkaZnak"/>
    <w:uiPriority w:val="99"/>
    <w:unhideWhenUsed/>
    <w:rsid w:val="00A31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31F5D"/>
  </w:style>
  <w:style w:type="paragraph" w:customStyle="1" w:styleId="Pa5">
    <w:name w:val="Pa5"/>
    <w:basedOn w:val="Default"/>
    <w:next w:val="Default"/>
    <w:uiPriority w:val="99"/>
    <w:rsid w:val="000128E9"/>
    <w:pPr>
      <w:spacing w:line="241" w:lineRule="atLeast"/>
    </w:pPr>
    <w:rPr>
      <w:color w:val="auto"/>
    </w:rPr>
  </w:style>
  <w:style w:type="table" w:styleId="Tabela-Siatka">
    <w:name w:val="Table Grid"/>
    <w:basedOn w:val="Standardowy"/>
    <w:uiPriority w:val="39"/>
    <w:rsid w:val="001B3D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rsid w:val="00FE63BA"/>
    <w:rPr>
      <w:rFonts w:ascii="Arial" w:eastAsia="Arial" w:hAnsi="Arial" w:cs="Arial"/>
      <w:sz w:val="40"/>
      <w:szCs w:val="40"/>
      <w:lang w:val="pl"/>
    </w:rPr>
  </w:style>
  <w:style w:type="character" w:customStyle="1" w:styleId="Nagwek2Znak">
    <w:name w:val="Nagłówek 2 Znak"/>
    <w:link w:val="Nagwek2"/>
    <w:rsid w:val="00FE63BA"/>
    <w:rPr>
      <w:rFonts w:ascii="Arial" w:eastAsia="Arial" w:hAnsi="Arial" w:cs="Arial"/>
      <w:sz w:val="32"/>
      <w:szCs w:val="32"/>
      <w:lang w:val="pl"/>
    </w:rPr>
  </w:style>
  <w:style w:type="paragraph" w:styleId="NormalnyWeb">
    <w:name w:val="Normal (Web)"/>
    <w:basedOn w:val="Normalny"/>
    <w:uiPriority w:val="99"/>
    <w:semiHidden/>
    <w:unhideWhenUsed/>
    <w:rsid w:val="00B748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ipercze">
    <w:name w:val="Hyperlink"/>
    <w:uiPriority w:val="99"/>
    <w:semiHidden/>
    <w:unhideWhenUsed/>
    <w:rsid w:val="00B74806"/>
    <w:rPr>
      <w:color w:val="0000FF"/>
      <w:u w:val="single"/>
    </w:rPr>
  </w:style>
  <w:style w:type="character" w:customStyle="1" w:styleId="apple-tab-span">
    <w:name w:val="apple-tab-span"/>
    <w:rsid w:val="00B74806"/>
  </w:style>
  <w:style w:type="character" w:customStyle="1" w:styleId="Nagwek3Znak">
    <w:name w:val="Nagłówek 3 Znak"/>
    <w:link w:val="Nagwek3"/>
    <w:uiPriority w:val="9"/>
    <w:rsid w:val="001F0B3D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character" w:customStyle="1" w:styleId="Nagwek4Znak">
    <w:name w:val="Nagłówek 4 Znak"/>
    <w:link w:val="Nagwek4"/>
    <w:uiPriority w:val="9"/>
    <w:rsid w:val="001F0B3D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Akapitzlist">
    <w:name w:val="List Paragraph"/>
    <w:basedOn w:val="Normalny"/>
    <w:uiPriority w:val="34"/>
    <w:qFormat/>
    <w:rsid w:val="00B96A5F"/>
    <w:pPr>
      <w:spacing w:after="0" w:line="276" w:lineRule="auto"/>
      <w:ind w:left="720"/>
      <w:contextualSpacing/>
    </w:pPr>
    <w:rPr>
      <w:rFonts w:ascii="Arial" w:eastAsia="Arial" w:hAnsi="Arial" w:cs="Arial"/>
      <w:lang w:val="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D55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D55B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D55B0"/>
    <w:rPr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D55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D55B0"/>
    <w:rPr>
      <w:b/>
      <w:bCs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0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000B"/>
    <w:rPr>
      <w:rFonts w:ascii="Segoe UI" w:hAnsi="Segoe UI" w:cs="Segoe UI"/>
      <w:sz w:val="18"/>
      <w:szCs w:val="18"/>
      <w:lang w:val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3PB1PkH" TargetMode="External"/><Relationship Id="rId13" Type="http://schemas.openxmlformats.org/officeDocument/2006/relationships/hyperlink" Target="https://youtu.be/gcU8jsQvtSk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youtu.be/ePPWyEvikFo" TargetMode="External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mailto:komitetymonitorujace@ofop.e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ACYmNZdXGE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ofop.eu" TargetMode="External"/><Relationship Id="rId10" Type="http://schemas.openxmlformats.org/officeDocument/2006/relationships/hyperlink" Target="https://youtu.be/hilQO1F4PLw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youtu.be/1zSoxWifGws" TargetMode="External"/><Relationship Id="rId14" Type="http://schemas.openxmlformats.org/officeDocument/2006/relationships/hyperlink" Target="https://youtu.be/SdccNiHCzWA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7jylTf4W0Nen8kJ3F2/FheXesXQ==">AMUW2mWqN3HsyXBXXS67SK+kGK3hDalgYxAapGI3pbQlgR/YxQBcyE+/bsvotftCONOVZok/VBx2WWbE+XTPPr9Fbky4kK3fnicAXp7AWFEAB7l9Z5iBC9SKQtcMUGY1dpO6+Or8WOm7bB3eAseASQwJAUi9DtcEJsxy0uo8V3y0zpbAdWuj9Gm2v6H8QQX8ecRzzq35MRZPhBWbgtU0j6jop8YGnjFEzdUgT60PY0cBZYD/9BKieDM=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1584</Words>
  <Characters>9510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OFOP</dc:creator>
  <cp:lastModifiedBy>Grzegorz Kasztura</cp:lastModifiedBy>
  <cp:revision>2</cp:revision>
  <cp:lastPrinted>2022-10-21T09:59:00Z</cp:lastPrinted>
  <dcterms:created xsi:type="dcterms:W3CDTF">2022-11-03T12:47:00Z</dcterms:created>
  <dcterms:modified xsi:type="dcterms:W3CDTF">2022-11-03T12:47:00Z</dcterms:modified>
</cp:coreProperties>
</file>