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DA01" w14:textId="77777777" w:rsidR="00957148" w:rsidRDefault="00A9082E">
      <w:pPr>
        <w:pStyle w:val="TitleStyle"/>
      </w:pPr>
      <w:r>
        <w:t>Prawo o ustroju sądów powszechnych.</w:t>
      </w:r>
    </w:p>
    <w:p w14:paraId="35173546" w14:textId="77777777" w:rsidR="00957148" w:rsidRDefault="00A9082E">
      <w:pPr>
        <w:pStyle w:val="NormalStyle"/>
      </w:pPr>
      <w:r>
        <w:t xml:space="preserve">Dz.U.2023.217 </w:t>
      </w:r>
      <w:proofErr w:type="spellStart"/>
      <w:r>
        <w:t>t.j</w:t>
      </w:r>
      <w:proofErr w:type="spellEnd"/>
      <w:r>
        <w:t>. z dnia 2023.02.02</w:t>
      </w:r>
    </w:p>
    <w:p w14:paraId="5663A142" w14:textId="77777777" w:rsidR="00957148" w:rsidRDefault="00A9082E">
      <w:pPr>
        <w:pStyle w:val="NormalStyle"/>
      </w:pPr>
      <w:r>
        <w:t>Status: Akt obowiązujący</w:t>
      </w:r>
    </w:p>
    <w:p w14:paraId="472E5138" w14:textId="77777777" w:rsidR="00957148" w:rsidRDefault="00A9082E">
      <w:pPr>
        <w:pStyle w:val="NormalStyle"/>
      </w:pPr>
      <w:r>
        <w:t>Wersja od: 15 kwietnia 2023r.  do: 30 czerwca 2023r.</w:t>
      </w:r>
    </w:p>
    <w:p w14:paraId="56EEAEEE" w14:textId="77777777" w:rsidR="00957148" w:rsidRDefault="00A9082E">
      <w:pPr>
        <w:spacing w:after="0"/>
      </w:pPr>
      <w:r>
        <w:br/>
      </w:r>
    </w:p>
    <w:p w14:paraId="1DB9B548" w14:textId="77777777" w:rsidR="00957148" w:rsidRDefault="00957148">
      <w:pPr>
        <w:spacing w:after="0"/>
      </w:pPr>
    </w:p>
    <w:p w14:paraId="786C564E" w14:textId="77777777" w:rsidR="00957148" w:rsidRDefault="00A9082E">
      <w:pPr>
        <w:spacing w:after="0"/>
      </w:pPr>
      <w:r>
        <w:rPr>
          <w:b/>
          <w:color w:val="000000"/>
        </w:rPr>
        <w:t>Wejście w życie:</w:t>
      </w:r>
    </w:p>
    <w:p w14:paraId="6F37F5A7" w14:textId="77777777" w:rsidR="00957148" w:rsidRDefault="00A9082E">
      <w:pPr>
        <w:spacing w:after="150"/>
      </w:pPr>
      <w:r>
        <w:rPr>
          <w:color w:val="000000"/>
        </w:rPr>
        <w:t>1 października 2001 r., 1 stycznia 2002 r., 1 stycznia 2003 r.</w:t>
      </w:r>
    </w:p>
    <w:p w14:paraId="50D809AB" w14:textId="77777777" w:rsidR="00957148" w:rsidRDefault="00A9082E">
      <w:pPr>
        <w:spacing w:after="0"/>
      </w:pPr>
      <w:r>
        <w:rPr>
          <w:b/>
          <w:color w:val="000000"/>
        </w:rPr>
        <w:t xml:space="preserve"> zobacz: </w:t>
      </w:r>
    </w:p>
    <w:p w14:paraId="0AF7C4A9" w14:textId="77777777" w:rsidR="00957148" w:rsidRDefault="00A9082E">
      <w:pPr>
        <w:numPr>
          <w:ilvl w:val="1"/>
          <w:numId w:val="1"/>
        </w:numPr>
        <w:spacing w:after="0"/>
      </w:pPr>
      <w:r>
        <w:rPr>
          <w:color w:val="000000"/>
        </w:rPr>
        <w:t xml:space="preserve"> art. 212 </w:t>
      </w:r>
    </w:p>
    <w:p w14:paraId="5E402B35" w14:textId="77777777" w:rsidR="00957148" w:rsidRDefault="00957148">
      <w:pPr>
        <w:spacing w:after="0"/>
      </w:pPr>
    </w:p>
    <w:p w14:paraId="5EC689B6" w14:textId="77777777" w:rsidR="00957148" w:rsidRDefault="00A9082E">
      <w:pPr>
        <w:spacing w:after="0"/>
      </w:pPr>
      <w:r>
        <w:rPr>
          <w:color w:val="000000"/>
        </w:rPr>
        <w:t>Art. 212.  [Wejście w życie ustawy]</w:t>
      </w:r>
    </w:p>
    <w:p w14:paraId="019DF5D2" w14:textId="77777777" w:rsidR="00957148" w:rsidRDefault="00A9082E">
      <w:pPr>
        <w:spacing w:before="25" w:after="0"/>
      </w:pPr>
      <w:r>
        <w:rPr>
          <w:color w:val="000000"/>
        </w:rPr>
        <w:t>Ustawa wchodzi w życie z dniem 1 października 2001 r., z wyjątkiem:</w:t>
      </w:r>
    </w:p>
    <w:p w14:paraId="23EC1F94" w14:textId="77777777" w:rsidR="00957148" w:rsidRDefault="00A9082E">
      <w:pPr>
        <w:spacing w:after="0"/>
      </w:pPr>
      <w:r>
        <w:rPr>
          <w:color w:val="000000"/>
        </w:rPr>
        <w:t xml:space="preserve">1) </w:t>
      </w:r>
    </w:p>
    <w:p w14:paraId="348443A3" w14:textId="77777777" w:rsidR="00957148" w:rsidRDefault="00A9082E">
      <w:pPr>
        <w:spacing w:after="0"/>
      </w:pPr>
      <w:r>
        <w:rPr>
          <w:color w:val="000000"/>
        </w:rPr>
        <w:t>art. 91 § 2a, art. 151 § 1, art. 178, art. 193 i art. 195 pkt 2, które wchodzą w życie z dniem 1 stycznia 2002 r.;</w:t>
      </w:r>
    </w:p>
    <w:p w14:paraId="5123A582" w14:textId="77777777" w:rsidR="00957148" w:rsidRDefault="00A9082E">
      <w:pPr>
        <w:spacing w:after="0"/>
      </w:pPr>
      <w:r>
        <w:rPr>
          <w:color w:val="000000"/>
        </w:rPr>
        <w:t xml:space="preserve">2) </w:t>
      </w:r>
    </w:p>
    <w:p w14:paraId="5F9153E3" w14:textId="77777777" w:rsidR="00957148" w:rsidRDefault="00A9082E">
      <w:pPr>
        <w:spacing w:after="0"/>
      </w:pPr>
      <w:r>
        <w:rPr>
          <w:color w:val="000000"/>
        </w:rPr>
        <w:t>art. 13 § 2 pkt 4, art. 91 § 2, 3 i 4, art. 176, art. 177 i art. 179 § 1-4, które wchodzą w życie z dniem 1 stycznia 2003 r.</w:t>
      </w:r>
    </w:p>
    <w:p w14:paraId="654C23F3" w14:textId="77777777" w:rsidR="00957148" w:rsidRDefault="00957148">
      <w:pPr>
        <w:numPr>
          <w:ilvl w:val="0"/>
          <w:numId w:val="1"/>
        </w:numPr>
        <w:spacing w:after="0"/>
      </w:pPr>
    </w:p>
    <w:p w14:paraId="350BFE1D" w14:textId="77777777" w:rsidR="00957148" w:rsidRDefault="00A9082E">
      <w:pPr>
        <w:spacing w:after="0"/>
      </w:pPr>
      <w:r>
        <w:br/>
      </w:r>
    </w:p>
    <w:p w14:paraId="28207A66" w14:textId="77777777" w:rsidR="00957148" w:rsidRDefault="00957148">
      <w:pPr>
        <w:spacing w:after="0"/>
      </w:pPr>
    </w:p>
    <w:p w14:paraId="0104690F" w14:textId="77777777" w:rsidR="00957148" w:rsidRDefault="00A9082E">
      <w:pPr>
        <w:spacing w:before="89" w:after="0"/>
        <w:jc w:val="center"/>
      </w:pPr>
      <w:r>
        <w:rPr>
          <w:b/>
          <w:color w:val="000000"/>
        </w:rPr>
        <w:t>DZIAŁ  IV</w:t>
      </w:r>
    </w:p>
    <w:p w14:paraId="213F1B4D" w14:textId="77777777" w:rsidR="00957148" w:rsidRDefault="00A9082E">
      <w:pPr>
        <w:spacing w:before="25" w:after="0"/>
        <w:jc w:val="center"/>
      </w:pPr>
      <w:r>
        <w:rPr>
          <w:b/>
          <w:color w:val="000000"/>
        </w:rPr>
        <w:t>Referendarze sądowi, kuratorzy sądowi, pracownicy sądów, stali mediatorzy, ławnicy oraz organy pomocnicze sądów </w:t>
      </w:r>
    </w:p>
    <w:p w14:paraId="0D070AF4" w14:textId="77777777" w:rsidR="00957148" w:rsidRDefault="00957148">
      <w:pPr>
        <w:spacing w:after="0"/>
      </w:pPr>
    </w:p>
    <w:p w14:paraId="623BF789" w14:textId="77777777" w:rsidR="00957148" w:rsidRDefault="00A9082E">
      <w:pPr>
        <w:spacing w:before="89" w:after="0"/>
        <w:jc w:val="center"/>
      </w:pPr>
      <w:r>
        <w:rPr>
          <w:b/>
          <w:color w:val="000000"/>
        </w:rPr>
        <w:t>Rozdział  7</w:t>
      </w:r>
    </w:p>
    <w:p w14:paraId="31943081" w14:textId="77777777" w:rsidR="00957148" w:rsidRDefault="00A9082E">
      <w:pPr>
        <w:spacing w:before="25" w:after="0"/>
        <w:jc w:val="center"/>
      </w:pPr>
      <w:r>
        <w:rPr>
          <w:b/>
          <w:color w:val="000000"/>
        </w:rPr>
        <w:t>Ławnicy</w:t>
      </w:r>
    </w:p>
    <w:p w14:paraId="1D158C0C" w14:textId="77777777" w:rsidR="00957148" w:rsidRDefault="00957148">
      <w:pPr>
        <w:spacing w:before="80" w:after="0"/>
      </w:pPr>
    </w:p>
    <w:p w14:paraId="5EAA7143" w14:textId="77777777" w:rsidR="00957148" w:rsidRDefault="00A9082E">
      <w:pPr>
        <w:spacing w:after="0"/>
      </w:pPr>
      <w:r>
        <w:rPr>
          <w:b/>
          <w:color w:val="000000"/>
        </w:rPr>
        <w:t>Art.  172.  [Obowiązki pracodawcy ławnika; rekompensata pieniężna; ryczałt na pokrycie kosztów dojazdu do sądu]</w:t>
      </w:r>
    </w:p>
    <w:p w14:paraId="4BC80D6D" w14:textId="77777777" w:rsidR="00957148" w:rsidRDefault="00957148">
      <w:pPr>
        <w:spacing w:before="26" w:after="0"/>
      </w:pPr>
    </w:p>
    <w:p w14:paraId="54B7F2A0" w14:textId="77777777" w:rsidR="00957148" w:rsidRDefault="00A9082E">
      <w:pPr>
        <w:spacing w:after="0"/>
      </w:pPr>
      <w:r>
        <w:rPr>
          <w:b/>
          <w:color w:val="000000"/>
        </w:rPr>
        <w:t>§  1. </w:t>
      </w:r>
    </w:p>
    <w:p w14:paraId="2FE3D0C6" w14:textId="77777777" w:rsidR="00957148" w:rsidRDefault="00A9082E">
      <w:pPr>
        <w:spacing w:after="0"/>
      </w:pPr>
      <w:r>
        <w:rPr>
          <w:color w:val="000000"/>
        </w:rPr>
        <w:t>Pracodawca zatrudniający ławnika jest obowiązany zwolnić go od pracy na czas wykonywania czynności w sądzie.</w:t>
      </w:r>
    </w:p>
    <w:p w14:paraId="51CCFDF1" w14:textId="77777777" w:rsidR="00957148" w:rsidRDefault="00957148">
      <w:pPr>
        <w:spacing w:before="26" w:after="0"/>
      </w:pPr>
    </w:p>
    <w:p w14:paraId="4036E15D" w14:textId="77777777" w:rsidR="00957148" w:rsidRDefault="00A9082E">
      <w:pPr>
        <w:spacing w:after="0"/>
      </w:pPr>
      <w:r>
        <w:rPr>
          <w:b/>
          <w:color w:val="000000"/>
        </w:rPr>
        <w:t>§  2. </w:t>
      </w:r>
    </w:p>
    <w:p w14:paraId="14708C52" w14:textId="77777777" w:rsidR="00957148" w:rsidRDefault="00A9082E">
      <w:pPr>
        <w:spacing w:after="0"/>
      </w:pPr>
      <w:r>
        <w:rPr>
          <w:color w:val="000000"/>
        </w:rPr>
        <w:t>Za czas zwolnienia od pracy ławnik zachowuje prawo do świadczeń wynikających ze stosunku pracy, z wyjątkiem prawa do wynagrodzenia.</w:t>
      </w:r>
    </w:p>
    <w:p w14:paraId="3CC3EFF8" w14:textId="77777777" w:rsidR="00957148" w:rsidRDefault="00957148">
      <w:pPr>
        <w:spacing w:before="26" w:after="0"/>
      </w:pPr>
    </w:p>
    <w:p w14:paraId="43D9D030" w14:textId="77777777" w:rsidR="00957148" w:rsidRDefault="00A9082E">
      <w:pPr>
        <w:spacing w:after="0"/>
      </w:pPr>
      <w:r>
        <w:rPr>
          <w:b/>
          <w:color w:val="000000"/>
        </w:rPr>
        <w:lastRenderedPageBreak/>
        <w:t>§  3. </w:t>
      </w:r>
    </w:p>
    <w:p w14:paraId="1614AC23" w14:textId="77777777" w:rsidR="00957148" w:rsidRDefault="00A9082E">
      <w:pPr>
        <w:spacing w:after="0"/>
      </w:pPr>
      <w:r>
        <w:rPr>
          <w:color w:val="000000"/>
        </w:rPr>
        <w:t>Ławnik otrzymuje rekompensatę pieniężną za czas wykonywania czynności w sądzie, którymi są: udział w rozprawie lub posiedzeniu, uczestnictwo w naradzie nad wyrokiem, sporządzenie uzasadnienia lub uczestnictwo w posiedzeniu rady ławniczej, jeżeli został do niej wybrany.</w:t>
      </w:r>
    </w:p>
    <w:p w14:paraId="321C875E" w14:textId="77777777" w:rsidR="00957148" w:rsidRDefault="00957148">
      <w:pPr>
        <w:spacing w:before="26" w:after="0"/>
      </w:pPr>
    </w:p>
    <w:p w14:paraId="0B81F406" w14:textId="77777777" w:rsidR="00957148" w:rsidRDefault="00A9082E">
      <w:pPr>
        <w:spacing w:after="0"/>
      </w:pPr>
      <w:r>
        <w:rPr>
          <w:b/>
          <w:color w:val="000000"/>
        </w:rPr>
        <w:t>§  4. </w:t>
      </w:r>
    </w:p>
    <w:p w14:paraId="137B399D" w14:textId="77777777" w:rsidR="00957148" w:rsidRDefault="00A9082E">
      <w:pPr>
        <w:spacing w:after="0"/>
      </w:pPr>
      <w:r>
        <w:rPr>
          <w:color w:val="000000"/>
        </w:rPr>
        <w:t>Wysokość rekompensaty dla ławników biorących udział w rozpoznawaniu spraw w sądach powszechnych, za jeden dzień pełnienia obowiązków ławnika, wynosi 2,64% podstawy ustalenia wynagrodzenia zasadniczego sędziego, o której mowa w art. 91 § 1c.</w:t>
      </w:r>
    </w:p>
    <w:p w14:paraId="795DEEAF" w14:textId="77777777" w:rsidR="00957148" w:rsidRDefault="00957148">
      <w:pPr>
        <w:spacing w:before="26" w:after="0"/>
      </w:pPr>
    </w:p>
    <w:p w14:paraId="239AA7B0" w14:textId="77777777" w:rsidR="00957148" w:rsidRDefault="00A9082E">
      <w:pPr>
        <w:spacing w:after="0"/>
      </w:pPr>
      <w:r>
        <w:rPr>
          <w:b/>
          <w:color w:val="000000"/>
        </w:rPr>
        <w:t>§  4a. </w:t>
      </w:r>
    </w:p>
    <w:p w14:paraId="7F1FC501" w14:textId="77777777" w:rsidR="00957148" w:rsidRDefault="00A9082E">
      <w:pPr>
        <w:spacing w:after="0"/>
      </w:pPr>
      <w:r>
        <w:rPr>
          <w:color w:val="000000"/>
        </w:rPr>
        <w:t>Ławnikowi przysługuje ryczałt na pokrycie kosztów dojazdu do sądu w celu wykonywania czynności w sądzie środkami komunikacji miejscowej w wysokości 0,25% podstawy ustalenia wynagrodzenia zasadniczego sędziego, o której mowa w art. 91 § 1c.</w:t>
      </w:r>
    </w:p>
    <w:p w14:paraId="00D5AECE" w14:textId="77777777" w:rsidR="00957148" w:rsidRDefault="00957148">
      <w:pPr>
        <w:spacing w:before="26" w:after="0"/>
      </w:pPr>
    </w:p>
    <w:p w14:paraId="209FB6A1" w14:textId="77777777" w:rsidR="00957148" w:rsidRDefault="00A9082E">
      <w:pPr>
        <w:spacing w:after="0"/>
      </w:pPr>
      <w:r>
        <w:rPr>
          <w:b/>
          <w:color w:val="000000"/>
        </w:rPr>
        <w:t>§  5. </w:t>
      </w:r>
    </w:p>
    <w:p w14:paraId="2A2E1542" w14:textId="77777777" w:rsidR="00957148" w:rsidRDefault="00A9082E">
      <w:pPr>
        <w:spacing w:after="0"/>
      </w:pPr>
      <w:r>
        <w:rPr>
          <w:color w:val="000000"/>
        </w:rPr>
        <w:t>(uchylony).</w:t>
      </w:r>
    </w:p>
    <w:p w14:paraId="44F250FE" w14:textId="77777777" w:rsidR="00957148" w:rsidRDefault="00957148">
      <w:pPr>
        <w:spacing w:before="26" w:after="0"/>
      </w:pPr>
    </w:p>
    <w:p w14:paraId="1F19F176" w14:textId="77777777" w:rsidR="00957148" w:rsidRDefault="00A9082E">
      <w:pPr>
        <w:spacing w:after="0"/>
      </w:pPr>
      <w:r>
        <w:rPr>
          <w:b/>
          <w:color w:val="000000"/>
        </w:rPr>
        <w:t>§  6. </w:t>
      </w:r>
    </w:p>
    <w:p w14:paraId="4150FB1B" w14:textId="77777777" w:rsidR="00957148" w:rsidRDefault="00A9082E">
      <w:pPr>
        <w:spacing w:after="0"/>
      </w:pPr>
      <w:r>
        <w:rPr>
          <w:color w:val="000000"/>
        </w:rPr>
        <w:t>Koszty wypłaty świadczeń, o których mowa w § 4 i 4a, ponosi Skarb Państwa.</w:t>
      </w:r>
    </w:p>
    <w:p w14:paraId="5ABE2056" w14:textId="77777777" w:rsidR="00957148" w:rsidRDefault="00957148">
      <w:pPr>
        <w:spacing w:before="80" w:after="0"/>
      </w:pPr>
    </w:p>
    <w:p w14:paraId="4AEB61CD" w14:textId="77777777" w:rsidR="00957148" w:rsidRDefault="00A9082E">
      <w:pPr>
        <w:spacing w:after="0"/>
      </w:pPr>
      <w:r>
        <w:rPr>
          <w:b/>
          <w:color w:val="000000"/>
        </w:rPr>
        <w:t>Art.  173.  [Diety i zwrot kosztów przejazdu i noclegu ławników]</w:t>
      </w:r>
    </w:p>
    <w:p w14:paraId="4313D827" w14:textId="77777777" w:rsidR="00957148" w:rsidRDefault="00A9082E">
      <w:pPr>
        <w:spacing w:after="0"/>
      </w:pPr>
      <w:r>
        <w:rPr>
          <w:color w:val="000000"/>
        </w:rPr>
        <w:t>Ławnicy zamieszkali poza siedzibą sądu otrzymują diety oraz zwrot kosztów przejazdu i noclegu według zasad ustalonych w tym zakresie dla sędziów.</w:t>
      </w:r>
    </w:p>
    <w:p w14:paraId="6B583279" w14:textId="77777777" w:rsidR="00957148" w:rsidRDefault="00957148">
      <w:pPr>
        <w:spacing w:before="80" w:after="0"/>
      </w:pPr>
    </w:p>
    <w:p w14:paraId="319531C9" w14:textId="77777777" w:rsidR="00957148" w:rsidRDefault="00A9082E">
      <w:pPr>
        <w:spacing w:after="0"/>
      </w:pPr>
      <w:r>
        <w:rPr>
          <w:b/>
          <w:color w:val="000000"/>
        </w:rPr>
        <w:t>Art.  174.  [Przyznanie należności ławnikom]</w:t>
      </w:r>
    </w:p>
    <w:p w14:paraId="43A3C02A" w14:textId="77777777" w:rsidR="00957148" w:rsidRDefault="00957148">
      <w:pPr>
        <w:spacing w:before="26" w:after="0"/>
      </w:pPr>
    </w:p>
    <w:p w14:paraId="7C0FE46B" w14:textId="77777777" w:rsidR="00957148" w:rsidRDefault="00A9082E">
      <w:pPr>
        <w:spacing w:after="0"/>
      </w:pPr>
      <w:r>
        <w:rPr>
          <w:b/>
          <w:color w:val="000000"/>
        </w:rPr>
        <w:t>§  1. </w:t>
      </w:r>
    </w:p>
    <w:p w14:paraId="08BAE2EC" w14:textId="77777777" w:rsidR="00957148" w:rsidRDefault="00A9082E">
      <w:pPr>
        <w:spacing w:after="0"/>
      </w:pPr>
      <w:r>
        <w:rPr>
          <w:color w:val="000000"/>
        </w:rPr>
        <w:t>Należności, o których mowa w art. 172 § 3 i art. 173, przyznaje prezes właściwego sądu.</w:t>
      </w:r>
    </w:p>
    <w:p w14:paraId="04A02991" w14:textId="77777777" w:rsidR="00957148" w:rsidRDefault="00957148">
      <w:pPr>
        <w:spacing w:before="26" w:after="0"/>
      </w:pPr>
    </w:p>
    <w:p w14:paraId="0F674B23" w14:textId="77777777" w:rsidR="00957148" w:rsidRDefault="00A9082E">
      <w:pPr>
        <w:spacing w:after="0"/>
      </w:pPr>
      <w:r>
        <w:rPr>
          <w:b/>
          <w:color w:val="000000"/>
        </w:rPr>
        <w:t>§  2. </w:t>
      </w:r>
    </w:p>
    <w:p w14:paraId="08BA3EAE" w14:textId="77777777" w:rsidR="00957148" w:rsidRDefault="00A9082E">
      <w:pPr>
        <w:spacing w:after="0"/>
      </w:pPr>
      <w:r>
        <w:rPr>
          <w:color w:val="000000"/>
        </w:rPr>
        <w:t>Od decyzji prezesa sądu rejonowego przysługuje odwołanie do prezesa sądu okręgowego, a gdy decyzję w pierwszej instancji wydał prezes sądu okręgowego lub prezes sądu apelacyjnego - do Ministra Sprawiedliwości.</w:t>
      </w:r>
    </w:p>
    <w:p w14:paraId="6C035F31" w14:textId="77777777" w:rsidR="00957148" w:rsidRDefault="00957148">
      <w:pPr>
        <w:spacing w:before="250" w:after="0"/>
      </w:pPr>
    </w:p>
    <w:sectPr w:rsidR="0095714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A2811"/>
    <w:multiLevelType w:val="multilevel"/>
    <w:tmpl w:val="82AEC746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20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48"/>
    <w:rsid w:val="00713015"/>
    <w:rsid w:val="00957148"/>
    <w:rsid w:val="00A9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DE22"/>
  <w15:docId w15:val="{BAC556EB-CA29-42B0-AACA-F6CEAFD4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2210</Characters>
  <Application>Microsoft Office Word</Application>
  <DocSecurity>4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Walus - UM w Konstantynowie Łódzkim</dc:creator>
  <cp:lastModifiedBy>Karolina Kleczaj - UM w Konstantynowie Łódzkim</cp:lastModifiedBy>
  <cp:revision>2</cp:revision>
  <dcterms:created xsi:type="dcterms:W3CDTF">2023-06-07T07:47:00Z</dcterms:created>
  <dcterms:modified xsi:type="dcterms:W3CDTF">2023-06-07T07:47:00Z</dcterms:modified>
</cp:coreProperties>
</file>